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72" w:rsidRDefault="00143E72" w:rsidP="003E1780"/>
    <w:tbl>
      <w:tblPr>
        <w:tblpPr w:leftFromText="180" w:rightFromText="180" w:vertAnchor="text" w:tblpXSpec="center" w:tblpY="1"/>
        <w:tblOverlap w:val="never"/>
        <w:tblW w:w="10490" w:type="dxa"/>
        <w:tblLayout w:type="fixed"/>
        <w:tblCellMar>
          <w:left w:w="0" w:type="dxa"/>
          <w:right w:w="0" w:type="dxa"/>
        </w:tblCellMar>
        <w:tblLook w:val="01E0" w:firstRow="1" w:lastRow="1" w:firstColumn="1" w:lastColumn="1" w:noHBand="0" w:noVBand="0"/>
      </w:tblPr>
      <w:tblGrid>
        <w:gridCol w:w="1683"/>
        <w:gridCol w:w="1403"/>
        <w:gridCol w:w="1404"/>
        <w:gridCol w:w="280"/>
        <w:gridCol w:w="422"/>
        <w:gridCol w:w="421"/>
        <w:gridCol w:w="280"/>
        <w:gridCol w:w="141"/>
        <w:gridCol w:w="4349"/>
        <w:gridCol w:w="107"/>
      </w:tblGrid>
      <w:tr w:rsidR="00143E72" w:rsidRPr="00577DF5" w:rsidTr="00DF030A">
        <w:trPr>
          <w:cantSplit/>
        </w:trPr>
        <w:tc>
          <w:tcPr>
            <w:tcW w:w="5245" w:type="dxa"/>
            <w:gridSpan w:val="5"/>
            <w:noWrap/>
            <w:tcMar>
              <w:top w:w="57" w:type="dxa"/>
              <w:left w:w="57" w:type="dxa"/>
              <w:bottom w:w="57" w:type="dxa"/>
              <w:right w:w="57" w:type="dxa"/>
            </w:tcMar>
          </w:tcPr>
          <w:p w:rsidR="00143E72" w:rsidRPr="00577DF5" w:rsidRDefault="00377425" w:rsidP="00DF030A">
            <w:pPr>
              <w:rPr>
                <w:rFonts w:cs="Arial"/>
              </w:rPr>
            </w:pPr>
            <w:r>
              <w:rPr>
                <w:rFonts w:cs="Arial"/>
                <w:noProof/>
                <w:sz w:val="20"/>
                <w:szCs w:val="20"/>
              </w:rPr>
              <w:drawing>
                <wp:inline distT="0" distB="0" distL="0" distR="0">
                  <wp:extent cx="2393950" cy="6927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950" cy="692785"/>
                          </a:xfrm>
                          <a:prstGeom prst="rect">
                            <a:avLst/>
                          </a:prstGeom>
                          <a:noFill/>
                          <a:ln>
                            <a:noFill/>
                          </a:ln>
                        </pic:spPr>
                      </pic:pic>
                    </a:graphicData>
                  </a:graphic>
                </wp:inline>
              </w:drawing>
            </w:r>
          </w:p>
          <w:p w:rsidR="00143E72" w:rsidRPr="00577DF5" w:rsidRDefault="00143E72" w:rsidP="00DF030A">
            <w:pPr>
              <w:rPr>
                <w:rFonts w:cs="Arial"/>
                <w:sz w:val="36"/>
                <w:szCs w:val="36"/>
              </w:rPr>
            </w:pPr>
          </w:p>
        </w:tc>
        <w:tc>
          <w:tcPr>
            <w:tcW w:w="5245" w:type="dxa"/>
            <w:gridSpan w:val="5"/>
            <w:noWrap/>
            <w:tcMar>
              <w:top w:w="57" w:type="dxa"/>
              <w:left w:w="57" w:type="dxa"/>
              <w:bottom w:w="57" w:type="dxa"/>
              <w:right w:w="57" w:type="dxa"/>
            </w:tcMar>
          </w:tcPr>
          <w:p w:rsidR="00143E72" w:rsidRPr="00577DF5" w:rsidRDefault="00143E72" w:rsidP="00DF030A">
            <w:pPr>
              <w:tabs>
                <w:tab w:val="left" w:pos="3060"/>
                <w:tab w:val="left" w:pos="4860"/>
              </w:tabs>
              <w:spacing w:before="240"/>
              <w:jc w:val="center"/>
              <w:rPr>
                <w:rFonts w:cs="Arial"/>
                <w:b/>
              </w:rPr>
            </w:pPr>
            <w:r w:rsidRPr="00577DF5">
              <w:rPr>
                <w:rFonts w:cs="Arial"/>
                <w:b/>
              </w:rPr>
              <w:t>PRE-GATEWAY REVIEW</w:t>
            </w:r>
          </w:p>
          <w:p w:rsidR="00143E72" w:rsidRDefault="00143E72" w:rsidP="00DF030A">
            <w:pPr>
              <w:tabs>
                <w:tab w:val="left" w:pos="3060"/>
                <w:tab w:val="left" w:pos="4860"/>
              </w:tabs>
              <w:jc w:val="center"/>
              <w:rPr>
                <w:rFonts w:cs="Arial"/>
              </w:rPr>
            </w:pPr>
            <w:r w:rsidRPr="00577DF5">
              <w:rPr>
                <w:rFonts w:cs="Arial"/>
              </w:rPr>
              <w:t>Information Assessment</w:t>
            </w:r>
            <w:r>
              <w:rPr>
                <w:rFonts w:cs="Arial"/>
              </w:rPr>
              <w:t xml:space="preserve"> and </w:t>
            </w:r>
          </w:p>
          <w:p w:rsidR="00143E72" w:rsidRPr="00577DF5" w:rsidRDefault="00143E72" w:rsidP="00DF030A">
            <w:pPr>
              <w:tabs>
                <w:tab w:val="left" w:pos="3060"/>
                <w:tab w:val="left" w:pos="4860"/>
              </w:tabs>
              <w:jc w:val="center"/>
              <w:rPr>
                <w:rFonts w:cs="Arial"/>
              </w:rPr>
            </w:pPr>
            <w:r>
              <w:rPr>
                <w:rFonts w:cs="Arial"/>
              </w:rPr>
              <w:t>Recommendation Report</w:t>
            </w:r>
            <w:r w:rsidRPr="00577DF5">
              <w:rPr>
                <w:rFonts w:cs="Arial"/>
              </w:rPr>
              <w:t xml:space="preserve"> </w:t>
            </w:r>
          </w:p>
        </w:tc>
      </w:tr>
      <w:tr w:rsidR="00143E72" w:rsidRPr="00577DF5" w:rsidTr="00DF030A">
        <w:tblPrEx>
          <w:tblCellMar>
            <w:left w:w="108" w:type="dxa"/>
            <w:right w:w="108" w:type="dxa"/>
          </w:tblCellMar>
        </w:tblPrEx>
        <w:trPr>
          <w:gridAfter w:val="1"/>
          <w:wAfter w:w="108" w:type="dxa"/>
          <w:cantSplit/>
        </w:trPr>
        <w:tc>
          <w:tcPr>
            <w:tcW w:w="1701" w:type="dxa"/>
            <w:shd w:val="clear" w:color="auto" w:fill="FFFF99"/>
            <w:noWrap/>
            <w:tcMar>
              <w:top w:w="113" w:type="dxa"/>
              <w:left w:w="57" w:type="dxa"/>
              <w:bottom w:w="113" w:type="dxa"/>
              <w:right w:w="57" w:type="dxa"/>
            </w:tcMar>
          </w:tcPr>
          <w:p w:rsidR="00143E72" w:rsidRPr="00577DF5" w:rsidRDefault="00143E72" w:rsidP="00DF030A">
            <w:pPr>
              <w:tabs>
                <w:tab w:val="left" w:pos="4860"/>
              </w:tabs>
              <w:ind w:right="-874"/>
              <w:rPr>
                <w:rFonts w:cs="Arial"/>
                <w:b/>
                <w:sz w:val="20"/>
                <w:szCs w:val="20"/>
              </w:rPr>
            </w:pPr>
            <w:r w:rsidRPr="00577DF5">
              <w:rPr>
                <w:rFonts w:cs="Arial"/>
                <w:b/>
                <w:sz w:val="20"/>
                <w:szCs w:val="20"/>
              </w:rPr>
              <w:t>Purpose:</w:t>
            </w:r>
          </w:p>
        </w:tc>
        <w:tc>
          <w:tcPr>
            <w:tcW w:w="8789" w:type="dxa"/>
            <w:gridSpan w:val="8"/>
            <w:shd w:val="clear" w:color="auto" w:fill="FFFF99"/>
            <w:noWrap/>
            <w:tcMar>
              <w:top w:w="113" w:type="dxa"/>
              <w:left w:w="57" w:type="dxa"/>
              <w:bottom w:w="113" w:type="dxa"/>
              <w:right w:w="57" w:type="dxa"/>
            </w:tcMar>
          </w:tcPr>
          <w:p w:rsidR="00143E72" w:rsidRPr="00577DF5" w:rsidRDefault="00143E72" w:rsidP="00DF030A">
            <w:pPr>
              <w:shd w:val="clear" w:color="auto" w:fill="FFFF99"/>
              <w:rPr>
                <w:rFonts w:cs="Arial"/>
                <w:sz w:val="20"/>
                <w:szCs w:val="20"/>
              </w:rPr>
            </w:pPr>
            <w:r w:rsidRPr="00577DF5">
              <w:rPr>
                <w:rFonts w:cs="Arial"/>
                <w:sz w:val="20"/>
                <w:szCs w:val="20"/>
              </w:rPr>
              <w:t xml:space="preserve">To identify whether the information provided by a proponent with their request for a pre-Gateway review of a proposed instrument is sufficient for assessment purposes and whether the request </w:t>
            </w:r>
            <w:r>
              <w:rPr>
                <w:rFonts w:cs="Arial"/>
                <w:sz w:val="20"/>
                <w:szCs w:val="20"/>
              </w:rPr>
              <w:t xml:space="preserve">should proceed to the </w:t>
            </w:r>
            <w:r w:rsidR="00437621">
              <w:rPr>
                <w:rFonts w:cs="Arial"/>
                <w:sz w:val="20"/>
                <w:szCs w:val="20"/>
              </w:rPr>
              <w:t>JRPP</w:t>
            </w:r>
            <w:r>
              <w:rPr>
                <w:rFonts w:cs="Arial"/>
                <w:sz w:val="20"/>
                <w:szCs w:val="20"/>
              </w:rPr>
              <w:t xml:space="preserve"> for consideration</w:t>
            </w:r>
            <w:r w:rsidRPr="00577DF5">
              <w:rPr>
                <w:rFonts w:cs="Arial"/>
                <w:sz w:val="20"/>
                <w:szCs w:val="20"/>
              </w:rPr>
              <w:t>.</w:t>
            </w: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701" w:type="dxa"/>
            <w:shd w:val="clear" w:color="auto" w:fill="FFFF99"/>
            <w:noWrap/>
            <w:tcMar>
              <w:top w:w="57" w:type="dxa"/>
              <w:left w:w="57" w:type="dxa"/>
              <w:bottom w:w="57" w:type="dxa"/>
              <w:right w:w="57" w:type="dxa"/>
            </w:tcMar>
          </w:tcPr>
          <w:p w:rsidR="00143E72" w:rsidRPr="00577DF5" w:rsidRDefault="00143E72" w:rsidP="00DF030A">
            <w:pPr>
              <w:spacing w:before="60"/>
              <w:rPr>
                <w:rFonts w:cs="Arial"/>
                <w:b/>
                <w:bCs/>
                <w:sz w:val="20"/>
                <w:szCs w:val="20"/>
              </w:rPr>
            </w:pPr>
            <w:r w:rsidRPr="00577DF5">
              <w:rPr>
                <w:rFonts w:cs="Arial"/>
                <w:b/>
                <w:bCs/>
                <w:sz w:val="20"/>
                <w:szCs w:val="20"/>
              </w:rPr>
              <w:t>Dept. Ref. No:</w:t>
            </w:r>
          </w:p>
        </w:tc>
        <w:tc>
          <w:tcPr>
            <w:tcW w:w="8789" w:type="dxa"/>
            <w:gridSpan w:val="8"/>
            <w:shd w:val="clear" w:color="auto" w:fill="FFFF99"/>
            <w:noWrap/>
            <w:tcMar>
              <w:top w:w="57" w:type="dxa"/>
              <w:left w:w="57" w:type="dxa"/>
              <w:bottom w:w="57" w:type="dxa"/>
              <w:right w:w="57" w:type="dxa"/>
            </w:tcMar>
            <w:vAlign w:val="center"/>
          </w:tcPr>
          <w:p w:rsidR="00143E72" w:rsidRPr="002D46F8" w:rsidRDefault="00143E72" w:rsidP="00DF030A">
            <w:pPr>
              <w:spacing w:before="60" w:after="60"/>
              <w:rPr>
                <w:rFonts w:cs="Arial"/>
                <w:bCs/>
                <w:sz w:val="20"/>
                <w:szCs w:val="20"/>
              </w:rPr>
            </w:pPr>
            <w:r w:rsidRPr="009D32FA">
              <w:rPr>
                <w:rFonts w:cs="Arial"/>
                <w:bCs/>
                <w:sz w:val="20"/>
                <w:szCs w:val="20"/>
              </w:rPr>
              <w:t>PGR_2013_FAIRF_001_00</w:t>
            </w: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701" w:type="dxa"/>
            <w:shd w:val="clear" w:color="auto" w:fill="FFFF99"/>
            <w:noWrap/>
            <w:tcMar>
              <w:top w:w="57" w:type="dxa"/>
              <w:left w:w="57" w:type="dxa"/>
              <w:bottom w:w="57" w:type="dxa"/>
              <w:right w:w="57" w:type="dxa"/>
            </w:tcMar>
          </w:tcPr>
          <w:p w:rsidR="00143E72" w:rsidRPr="00577DF5" w:rsidRDefault="00143E72" w:rsidP="00DF030A">
            <w:pPr>
              <w:spacing w:before="60"/>
              <w:rPr>
                <w:rFonts w:cs="Arial"/>
                <w:b/>
                <w:bCs/>
                <w:sz w:val="20"/>
                <w:szCs w:val="20"/>
              </w:rPr>
            </w:pPr>
            <w:r w:rsidRPr="00577DF5">
              <w:rPr>
                <w:rFonts w:cs="Arial"/>
                <w:b/>
                <w:bCs/>
                <w:sz w:val="20"/>
                <w:szCs w:val="20"/>
              </w:rPr>
              <w:t>Address/</w:t>
            </w:r>
          </w:p>
          <w:p w:rsidR="00143E72" w:rsidRPr="00577DF5" w:rsidRDefault="00143E72" w:rsidP="00DF030A">
            <w:pPr>
              <w:spacing w:before="60"/>
              <w:rPr>
                <w:rFonts w:cs="Arial"/>
                <w:b/>
                <w:bCs/>
                <w:sz w:val="20"/>
                <w:szCs w:val="20"/>
              </w:rPr>
            </w:pPr>
            <w:r w:rsidRPr="00577DF5">
              <w:rPr>
                <w:rFonts w:cs="Arial"/>
                <w:b/>
                <w:bCs/>
                <w:sz w:val="20"/>
                <w:szCs w:val="20"/>
              </w:rPr>
              <w:t>Location:</w:t>
            </w:r>
          </w:p>
        </w:tc>
        <w:tc>
          <w:tcPr>
            <w:tcW w:w="8789" w:type="dxa"/>
            <w:gridSpan w:val="8"/>
            <w:shd w:val="clear" w:color="auto" w:fill="FFFF99"/>
            <w:noWrap/>
            <w:tcMar>
              <w:top w:w="57" w:type="dxa"/>
              <w:left w:w="57" w:type="dxa"/>
              <w:bottom w:w="57" w:type="dxa"/>
              <w:right w:w="57" w:type="dxa"/>
            </w:tcMar>
            <w:vAlign w:val="center"/>
          </w:tcPr>
          <w:p w:rsidR="00143E72" w:rsidRPr="002D46F8" w:rsidRDefault="00143E72" w:rsidP="00DF030A">
            <w:pPr>
              <w:spacing w:before="60" w:after="60"/>
              <w:rPr>
                <w:rFonts w:cs="Arial"/>
                <w:sz w:val="20"/>
                <w:szCs w:val="20"/>
              </w:rPr>
            </w:pPr>
            <w:smartTag w:uri="urn:schemas-microsoft-com:office:smarttags" w:element="address">
              <w:smartTag w:uri="urn:schemas-microsoft-com:office:smarttags" w:element="Street">
                <w:r w:rsidRPr="009D32FA">
                  <w:rPr>
                    <w:rFonts w:cs="Arial"/>
                    <w:sz w:val="20"/>
                    <w:szCs w:val="20"/>
                  </w:rPr>
                  <w:t>131 Polding St</w:t>
                </w:r>
              </w:smartTag>
              <w:r w:rsidRPr="009D32FA">
                <w:rPr>
                  <w:rFonts w:cs="Arial"/>
                  <w:sz w:val="20"/>
                  <w:szCs w:val="20"/>
                </w:rPr>
                <w:t xml:space="preserve">, </w:t>
              </w:r>
              <w:smartTag w:uri="urn:schemas-microsoft-com:office:smarttags" w:element="City">
                <w:r w:rsidRPr="009D32FA">
                  <w:rPr>
                    <w:rFonts w:cs="Arial"/>
                    <w:sz w:val="20"/>
                    <w:szCs w:val="20"/>
                  </w:rPr>
                  <w:t>Fairfield</w:t>
                </w:r>
              </w:smartTag>
            </w:smartTag>
            <w:r w:rsidRPr="009D32FA">
              <w:rPr>
                <w:rFonts w:cs="Arial"/>
                <w:sz w:val="20"/>
                <w:szCs w:val="20"/>
              </w:rPr>
              <w:t xml:space="preserve"> Heights</w:t>
            </w: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701" w:type="dxa"/>
            <w:shd w:val="clear" w:color="auto" w:fill="FFFF99"/>
            <w:noWrap/>
            <w:tcMar>
              <w:top w:w="57" w:type="dxa"/>
              <w:left w:w="57" w:type="dxa"/>
              <w:bottom w:w="57" w:type="dxa"/>
              <w:right w:w="57" w:type="dxa"/>
            </w:tcMar>
          </w:tcPr>
          <w:p w:rsidR="00143E72" w:rsidRPr="00577DF5" w:rsidRDefault="00143E72" w:rsidP="00DF030A">
            <w:pPr>
              <w:spacing w:before="60" w:after="60"/>
              <w:rPr>
                <w:rFonts w:cs="Arial"/>
                <w:b/>
                <w:bCs/>
                <w:sz w:val="20"/>
                <w:szCs w:val="20"/>
              </w:rPr>
            </w:pPr>
            <w:r w:rsidRPr="00577DF5">
              <w:rPr>
                <w:rFonts w:cs="Arial"/>
                <w:b/>
                <w:bCs/>
                <w:sz w:val="20"/>
                <w:szCs w:val="20"/>
              </w:rPr>
              <w:t>LGA</w:t>
            </w:r>
            <w:r>
              <w:rPr>
                <w:rFonts w:cs="Arial"/>
                <w:b/>
                <w:bCs/>
                <w:sz w:val="20"/>
                <w:szCs w:val="20"/>
              </w:rPr>
              <w:t>:</w:t>
            </w:r>
          </w:p>
        </w:tc>
        <w:tc>
          <w:tcPr>
            <w:tcW w:w="8789" w:type="dxa"/>
            <w:gridSpan w:val="8"/>
            <w:shd w:val="clear" w:color="auto" w:fill="FFFF99"/>
            <w:noWrap/>
            <w:tcMar>
              <w:top w:w="57" w:type="dxa"/>
              <w:left w:w="57" w:type="dxa"/>
              <w:bottom w:w="57" w:type="dxa"/>
              <w:right w:w="57" w:type="dxa"/>
            </w:tcMar>
            <w:vAlign w:val="center"/>
          </w:tcPr>
          <w:p w:rsidR="00143E72" w:rsidRPr="002D46F8" w:rsidRDefault="00143E72" w:rsidP="00DF030A">
            <w:pPr>
              <w:spacing w:before="60" w:after="60"/>
              <w:rPr>
                <w:rFonts w:cs="Arial"/>
                <w:sz w:val="20"/>
                <w:szCs w:val="20"/>
              </w:rPr>
            </w:pPr>
            <w:smartTag w:uri="urn:schemas-microsoft-com:office:smarttags" w:element="place">
              <w:smartTag w:uri="urn:schemas-microsoft-com:office:smarttags" w:element="City">
                <w:r w:rsidRPr="009D32FA">
                  <w:rPr>
                    <w:rFonts w:cs="Arial"/>
                    <w:sz w:val="20"/>
                    <w:szCs w:val="20"/>
                  </w:rPr>
                  <w:t>Fairfield</w:t>
                </w:r>
              </w:smartTag>
            </w:smartTag>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701" w:type="dxa"/>
            <w:shd w:val="clear" w:color="auto" w:fill="FFFF99"/>
            <w:noWrap/>
            <w:tcMar>
              <w:top w:w="57" w:type="dxa"/>
              <w:left w:w="57" w:type="dxa"/>
              <w:bottom w:w="57" w:type="dxa"/>
              <w:right w:w="57" w:type="dxa"/>
            </w:tcMar>
          </w:tcPr>
          <w:p w:rsidR="00143E72" w:rsidRPr="00577DF5" w:rsidRDefault="00143E72" w:rsidP="00DF030A">
            <w:pPr>
              <w:spacing w:after="60"/>
              <w:rPr>
                <w:rFonts w:cs="Arial"/>
                <w:b/>
                <w:bCs/>
                <w:sz w:val="20"/>
                <w:szCs w:val="20"/>
              </w:rPr>
            </w:pPr>
            <w:r w:rsidRPr="00577DF5">
              <w:rPr>
                <w:rFonts w:cs="Arial"/>
                <w:b/>
                <w:bCs/>
                <w:sz w:val="20"/>
                <w:szCs w:val="20"/>
              </w:rPr>
              <w:t>LEP to be Amended:</w:t>
            </w:r>
          </w:p>
        </w:tc>
        <w:tc>
          <w:tcPr>
            <w:tcW w:w="8789" w:type="dxa"/>
            <w:gridSpan w:val="8"/>
            <w:shd w:val="clear" w:color="auto" w:fill="FFFF99"/>
            <w:noWrap/>
            <w:tcMar>
              <w:top w:w="57" w:type="dxa"/>
              <w:left w:w="57" w:type="dxa"/>
              <w:bottom w:w="57" w:type="dxa"/>
              <w:right w:w="57" w:type="dxa"/>
            </w:tcMar>
            <w:vAlign w:val="center"/>
          </w:tcPr>
          <w:p w:rsidR="00143E72" w:rsidRPr="002D46F8" w:rsidRDefault="00143E72" w:rsidP="00DF030A">
            <w:pPr>
              <w:spacing w:before="60" w:after="60"/>
              <w:rPr>
                <w:rFonts w:cs="Arial"/>
                <w:sz w:val="20"/>
                <w:szCs w:val="20"/>
              </w:rPr>
            </w:pPr>
            <w:smartTag w:uri="urn:schemas-microsoft-com:office:smarttags" w:element="place">
              <w:smartTag w:uri="urn:schemas-microsoft-com:office:smarttags" w:element="City">
                <w:r w:rsidRPr="009D32FA">
                  <w:rPr>
                    <w:rFonts w:cs="Arial"/>
                    <w:sz w:val="20"/>
                    <w:szCs w:val="20"/>
                  </w:rPr>
                  <w:t>Fairfield</w:t>
                </w:r>
              </w:smartTag>
            </w:smartTag>
            <w:r w:rsidRPr="009D32FA">
              <w:rPr>
                <w:rFonts w:cs="Arial"/>
                <w:sz w:val="20"/>
                <w:szCs w:val="20"/>
              </w:rPr>
              <w:t xml:space="preserve"> Local Environmental Plan 2013</w:t>
            </w: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701" w:type="dxa"/>
            <w:shd w:val="clear" w:color="auto" w:fill="FFFF99"/>
            <w:noWrap/>
            <w:tcMar>
              <w:top w:w="57" w:type="dxa"/>
              <w:left w:w="57" w:type="dxa"/>
              <w:bottom w:w="57" w:type="dxa"/>
              <w:right w:w="57" w:type="dxa"/>
            </w:tcMar>
            <w:vAlign w:val="center"/>
          </w:tcPr>
          <w:p w:rsidR="00143E72" w:rsidRPr="00577DF5" w:rsidRDefault="00143E72" w:rsidP="00DF030A">
            <w:pPr>
              <w:spacing w:before="60" w:after="60"/>
              <w:rPr>
                <w:rFonts w:cs="Arial"/>
                <w:b/>
                <w:bCs/>
                <w:sz w:val="20"/>
                <w:szCs w:val="20"/>
              </w:rPr>
            </w:pPr>
            <w:r w:rsidRPr="00577DF5">
              <w:rPr>
                <w:rFonts w:cs="Arial"/>
                <w:b/>
                <w:bCs/>
                <w:sz w:val="20"/>
                <w:szCs w:val="20"/>
              </w:rPr>
              <w:t>Reason for review:</w:t>
            </w:r>
          </w:p>
        </w:tc>
        <w:tc>
          <w:tcPr>
            <w:tcW w:w="4394" w:type="dxa"/>
            <w:gridSpan w:val="7"/>
            <w:shd w:val="clear" w:color="auto" w:fill="FFFF99"/>
            <w:noWrap/>
            <w:tcMar>
              <w:top w:w="57" w:type="dxa"/>
              <w:left w:w="57" w:type="dxa"/>
              <w:bottom w:w="57" w:type="dxa"/>
              <w:right w:w="57" w:type="dxa"/>
            </w:tcMar>
            <w:vAlign w:val="center"/>
          </w:tcPr>
          <w:p w:rsidR="00143E72" w:rsidRPr="00577DF5" w:rsidRDefault="00BE5C1D" w:rsidP="00DF030A">
            <w:pPr>
              <w:rPr>
                <w:rFonts w:cs="Arial"/>
                <w:sz w:val="20"/>
                <w:szCs w:val="20"/>
              </w:rPr>
            </w:pPr>
            <w:r>
              <w:rPr>
                <w:rFonts w:cs="Arial"/>
                <w:sz w:val="20"/>
                <w:szCs w:val="20"/>
              </w:rPr>
              <w:fldChar w:fldCharType="begin">
                <w:ffData>
                  <w:name w:val=""/>
                  <w:enabled/>
                  <w:calcOnExit w:val="0"/>
                  <w:checkBox>
                    <w:size w:val="20"/>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r w:rsidR="00143E72" w:rsidRPr="00577DF5">
              <w:rPr>
                <w:rFonts w:cs="Arial"/>
                <w:sz w:val="20"/>
                <w:szCs w:val="20"/>
              </w:rPr>
              <w:t xml:space="preserve"> Council notified proponent it will not support</w:t>
            </w:r>
            <w:r w:rsidR="00143E72">
              <w:rPr>
                <w:rFonts w:cs="Arial"/>
                <w:sz w:val="20"/>
                <w:szCs w:val="20"/>
              </w:rPr>
              <w:t xml:space="preserve"> proposed amendment</w:t>
            </w:r>
          </w:p>
        </w:tc>
        <w:tc>
          <w:tcPr>
            <w:tcW w:w="4395" w:type="dxa"/>
            <w:shd w:val="clear" w:color="auto" w:fill="FFFF99"/>
            <w:noWrap/>
            <w:tcMar>
              <w:top w:w="57" w:type="dxa"/>
              <w:left w:w="57" w:type="dxa"/>
              <w:bottom w:w="57" w:type="dxa"/>
              <w:right w:w="57" w:type="dxa"/>
            </w:tcMar>
            <w:vAlign w:val="center"/>
          </w:tcPr>
          <w:p w:rsidR="00143E72" w:rsidRPr="00577DF5" w:rsidRDefault="00BE5C1D" w:rsidP="00DF030A">
            <w:pPr>
              <w:rPr>
                <w:rFonts w:cs="Arial"/>
                <w:sz w:val="20"/>
                <w:szCs w:val="20"/>
              </w:rPr>
            </w:pPr>
            <w:r w:rsidRPr="00577DF5">
              <w:rPr>
                <w:rFonts w:cs="Arial"/>
                <w:sz w:val="20"/>
                <w:szCs w:val="20"/>
              </w:rPr>
              <w:fldChar w:fldCharType="begin">
                <w:ffData>
                  <w:name w:val=""/>
                  <w:enabled/>
                  <w:calcOnExit w:val="0"/>
                  <w:checkBox>
                    <w:size w:val="20"/>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r w:rsidR="00143E72" w:rsidRPr="00577DF5">
              <w:rPr>
                <w:rFonts w:cs="Arial"/>
                <w:sz w:val="20"/>
                <w:szCs w:val="20"/>
              </w:rPr>
              <w:t xml:space="preserve"> Council failed to indicate support </w:t>
            </w:r>
            <w:r w:rsidR="00143E72">
              <w:rPr>
                <w:rFonts w:cs="Arial"/>
                <w:sz w:val="20"/>
                <w:szCs w:val="20"/>
              </w:rPr>
              <w:t xml:space="preserve">for proposal </w:t>
            </w:r>
            <w:r w:rsidR="00143E72" w:rsidRPr="00577DF5">
              <w:rPr>
                <w:rFonts w:cs="Arial"/>
                <w:sz w:val="20"/>
                <w:szCs w:val="20"/>
              </w:rPr>
              <w:t>within 90 days</w:t>
            </w: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701" w:type="dxa"/>
            <w:shd w:val="clear" w:color="auto" w:fill="FFFF99"/>
            <w:noWrap/>
            <w:tcMar>
              <w:top w:w="57" w:type="dxa"/>
              <w:left w:w="57" w:type="dxa"/>
              <w:bottom w:w="57" w:type="dxa"/>
              <w:right w:w="57" w:type="dxa"/>
            </w:tcMar>
            <w:vAlign w:val="center"/>
          </w:tcPr>
          <w:p w:rsidR="00143E72" w:rsidRPr="00577DF5" w:rsidRDefault="00143E72" w:rsidP="00DF030A">
            <w:pPr>
              <w:spacing w:before="60" w:after="60"/>
              <w:rPr>
                <w:rFonts w:cs="Arial"/>
                <w:b/>
                <w:bCs/>
                <w:sz w:val="20"/>
                <w:szCs w:val="20"/>
              </w:rPr>
            </w:pPr>
            <w:r w:rsidRPr="00577DF5">
              <w:rPr>
                <w:rFonts w:cs="Arial"/>
                <w:b/>
                <w:bCs/>
                <w:sz w:val="20"/>
                <w:szCs w:val="20"/>
              </w:rPr>
              <w:t>Assessment Fee:</w:t>
            </w:r>
          </w:p>
        </w:tc>
        <w:tc>
          <w:tcPr>
            <w:tcW w:w="2835" w:type="dxa"/>
            <w:gridSpan w:val="2"/>
            <w:shd w:val="clear" w:color="auto" w:fill="FFFF99"/>
            <w:noWrap/>
            <w:tcMar>
              <w:top w:w="57" w:type="dxa"/>
              <w:left w:w="57" w:type="dxa"/>
              <w:bottom w:w="57" w:type="dxa"/>
              <w:right w:w="57" w:type="dxa"/>
            </w:tcMar>
            <w:vAlign w:val="center"/>
          </w:tcPr>
          <w:p w:rsidR="00143E72" w:rsidRPr="00577DF5" w:rsidRDefault="00BE5C1D" w:rsidP="00DF030A">
            <w:pPr>
              <w:spacing w:before="60"/>
              <w:rPr>
                <w:rFonts w:cs="Arial"/>
                <w:sz w:val="20"/>
                <w:szCs w:val="20"/>
              </w:rPr>
            </w:pPr>
            <w:r>
              <w:rPr>
                <w:rFonts w:cs="Arial"/>
                <w:sz w:val="20"/>
                <w:szCs w:val="20"/>
              </w:rPr>
              <w:fldChar w:fldCharType="begin">
                <w:ffData>
                  <w:name w:val=""/>
                  <w:enabled/>
                  <w:calcOnExit w:val="0"/>
                  <w:checkBox>
                    <w:size w:val="20"/>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r w:rsidR="00143E72" w:rsidRPr="00577DF5">
              <w:rPr>
                <w:rFonts w:cs="Arial"/>
                <w:sz w:val="20"/>
                <w:szCs w:val="20"/>
              </w:rPr>
              <w:t xml:space="preserve"> Provided &amp; correct</w:t>
            </w:r>
          </w:p>
          <w:p w:rsidR="00143E72" w:rsidRPr="00577DF5" w:rsidRDefault="00BE5C1D" w:rsidP="00DF030A">
            <w:pPr>
              <w:spacing w:after="60"/>
              <w:ind w:right="-108"/>
              <w:rPr>
                <w:rFonts w:cs="Arial"/>
                <w:sz w:val="20"/>
                <w:szCs w:val="20"/>
              </w:rPr>
            </w:pPr>
            <w:r w:rsidRPr="00577DF5">
              <w:rPr>
                <w:rFonts w:cs="Arial"/>
                <w:sz w:val="20"/>
                <w:szCs w:val="20"/>
              </w:rPr>
              <w:fldChar w:fldCharType="begin">
                <w:ffData>
                  <w:name w:val=""/>
                  <w:enabled/>
                  <w:calcOnExit w:val="0"/>
                  <w:checkBox>
                    <w:size w:val="20"/>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r w:rsidR="00143E72" w:rsidRPr="00577DF5">
              <w:rPr>
                <w:rFonts w:cs="Arial"/>
                <w:sz w:val="20"/>
                <w:szCs w:val="20"/>
              </w:rPr>
              <w:t xml:space="preserve"> Not provided / incorrect</w:t>
            </w:r>
          </w:p>
        </w:tc>
        <w:tc>
          <w:tcPr>
            <w:tcW w:w="1134" w:type="dxa"/>
            <w:gridSpan w:val="3"/>
            <w:shd w:val="clear" w:color="auto" w:fill="FFFF99"/>
            <w:noWrap/>
            <w:tcMar>
              <w:top w:w="57" w:type="dxa"/>
              <w:left w:w="57" w:type="dxa"/>
              <w:bottom w:w="57" w:type="dxa"/>
              <w:right w:w="57" w:type="dxa"/>
            </w:tcMar>
            <w:vAlign w:val="center"/>
          </w:tcPr>
          <w:p w:rsidR="00143E72" w:rsidRPr="00577DF5" w:rsidRDefault="00143E72" w:rsidP="00DF030A">
            <w:pPr>
              <w:ind w:right="-108"/>
              <w:rPr>
                <w:rFonts w:cs="Arial"/>
                <w:b/>
                <w:sz w:val="20"/>
                <w:szCs w:val="20"/>
              </w:rPr>
            </w:pPr>
            <w:r w:rsidRPr="00577DF5">
              <w:rPr>
                <w:rFonts w:cs="Arial"/>
                <w:b/>
                <w:sz w:val="20"/>
                <w:szCs w:val="20"/>
              </w:rPr>
              <w:t>Comment:</w:t>
            </w:r>
          </w:p>
        </w:tc>
        <w:tc>
          <w:tcPr>
            <w:tcW w:w="4820" w:type="dxa"/>
            <w:gridSpan w:val="3"/>
            <w:shd w:val="clear" w:color="auto" w:fill="FFFF99"/>
            <w:noWrap/>
            <w:tcMar>
              <w:top w:w="57" w:type="dxa"/>
              <w:left w:w="57" w:type="dxa"/>
              <w:bottom w:w="57" w:type="dxa"/>
              <w:right w:w="57" w:type="dxa"/>
            </w:tcMar>
            <w:vAlign w:val="center"/>
          </w:tcPr>
          <w:p w:rsidR="00143E72" w:rsidRPr="00577DF5" w:rsidRDefault="00143E72" w:rsidP="00DF030A">
            <w:pPr>
              <w:rPr>
                <w:rFonts w:cs="Arial"/>
                <w:sz w:val="20"/>
                <w:szCs w:val="20"/>
              </w:rPr>
            </w:pP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10490" w:type="dxa"/>
            <w:gridSpan w:val="9"/>
            <w:shd w:val="clear" w:color="auto" w:fill="FFFF99"/>
            <w:noWrap/>
            <w:tcMar>
              <w:top w:w="57" w:type="dxa"/>
              <w:left w:w="57" w:type="dxa"/>
              <w:bottom w:w="57" w:type="dxa"/>
              <w:right w:w="57" w:type="dxa"/>
            </w:tcMar>
            <w:vAlign w:val="center"/>
          </w:tcPr>
          <w:p w:rsidR="00143E72" w:rsidRPr="00A16FE5" w:rsidRDefault="00143E72" w:rsidP="00DF030A">
            <w:pPr>
              <w:rPr>
                <w:rFonts w:cs="Arial"/>
                <w:bCs/>
                <w:i/>
                <w:color w:val="FF0000"/>
                <w:sz w:val="20"/>
                <w:szCs w:val="20"/>
              </w:rPr>
            </w:pPr>
            <w:r w:rsidRPr="00A16FE5">
              <w:rPr>
                <w:rFonts w:cs="Arial"/>
                <w:b/>
                <w:bCs/>
                <w:sz w:val="20"/>
                <w:szCs w:val="20"/>
              </w:rPr>
              <w:lastRenderedPageBreak/>
              <w:t>Summary of proposal:</w:t>
            </w:r>
          </w:p>
          <w:p w:rsidR="00143E72" w:rsidRPr="00A16FE5" w:rsidRDefault="00143E72" w:rsidP="00DF030A">
            <w:pPr>
              <w:rPr>
                <w:rFonts w:cs="Arial"/>
                <w:bCs/>
                <w:i/>
                <w:color w:val="FF0000"/>
                <w:sz w:val="20"/>
                <w:szCs w:val="20"/>
              </w:rPr>
            </w:pPr>
          </w:p>
          <w:p w:rsidR="00143E72" w:rsidRPr="00A16FE5" w:rsidRDefault="00143E72" w:rsidP="00DF030A">
            <w:pPr>
              <w:rPr>
                <w:rFonts w:cs="Arial"/>
                <w:b/>
                <w:bCs/>
                <w:sz w:val="20"/>
                <w:szCs w:val="20"/>
              </w:rPr>
            </w:pPr>
            <w:r w:rsidRPr="00A16FE5">
              <w:rPr>
                <w:rFonts w:cs="Arial"/>
                <w:b/>
                <w:bCs/>
                <w:sz w:val="20"/>
                <w:szCs w:val="20"/>
              </w:rPr>
              <w:t>Zoning</w:t>
            </w:r>
          </w:p>
          <w:p w:rsidR="00143E72" w:rsidRPr="00A16FE5" w:rsidRDefault="00143E72" w:rsidP="00DF030A">
            <w:pPr>
              <w:rPr>
                <w:rFonts w:cs="Arial"/>
                <w:sz w:val="20"/>
                <w:szCs w:val="20"/>
              </w:rPr>
            </w:pPr>
            <w:bookmarkStart w:id="0" w:name="_GoBack"/>
            <w:r w:rsidRPr="00A16FE5">
              <w:rPr>
                <w:rFonts w:cs="Arial"/>
                <w:sz w:val="20"/>
                <w:szCs w:val="20"/>
              </w:rPr>
              <w:t>The proposal seeks to rezone 131 Polding St, Fairfield Heights from R3 Residential Medium Density to B2 Local Centre to accommodate mixed use development with a height limit of 9 metres and maxi</w:t>
            </w:r>
            <w:r w:rsidR="00B573A1">
              <w:rPr>
                <w:rFonts w:cs="Arial"/>
                <w:sz w:val="20"/>
                <w:szCs w:val="20"/>
              </w:rPr>
              <w:t>mum floor space ratio of 1:5:1.</w:t>
            </w:r>
          </w:p>
          <w:bookmarkEnd w:id="0"/>
          <w:p w:rsidR="00143E72" w:rsidRPr="00A16FE5" w:rsidRDefault="00143E72" w:rsidP="00DF030A">
            <w:pPr>
              <w:rPr>
                <w:rFonts w:cs="Arial"/>
                <w:sz w:val="20"/>
                <w:szCs w:val="20"/>
              </w:rPr>
            </w:pPr>
          </w:p>
          <w:p w:rsidR="00143E72" w:rsidRPr="00A16FE5" w:rsidRDefault="00143E72" w:rsidP="00DF030A">
            <w:pPr>
              <w:rPr>
                <w:rFonts w:cs="Arial"/>
                <w:b/>
                <w:sz w:val="20"/>
                <w:szCs w:val="20"/>
              </w:rPr>
            </w:pPr>
            <w:r w:rsidRPr="00A16FE5">
              <w:rPr>
                <w:rFonts w:cs="Arial"/>
                <w:b/>
                <w:sz w:val="20"/>
                <w:szCs w:val="20"/>
              </w:rPr>
              <w:t>Current and Intended Site Use</w:t>
            </w:r>
          </w:p>
          <w:p w:rsidR="00143E72" w:rsidRPr="00A16FE5" w:rsidRDefault="00143E72" w:rsidP="00DF030A">
            <w:pPr>
              <w:autoSpaceDE w:val="0"/>
              <w:autoSpaceDN w:val="0"/>
              <w:adjustRightInd w:val="0"/>
              <w:rPr>
                <w:rFonts w:cs="Arial"/>
                <w:sz w:val="20"/>
                <w:szCs w:val="20"/>
              </w:rPr>
            </w:pPr>
            <w:r w:rsidRPr="00A16FE5">
              <w:rPr>
                <w:rFonts w:cs="Arial"/>
                <w:sz w:val="20"/>
                <w:szCs w:val="20"/>
              </w:rPr>
              <w:t>The 1716 m² site is currently occupied by a single storey cottage, located at the front part of the site, and a shed to the rear. The remainder of the site is vacant and used as private open space.  Access to the site is from a vehicular crossing and driveway located on the eastern side of the property.</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rPr>
                <w:rFonts w:cs="Arial"/>
                <w:sz w:val="20"/>
                <w:szCs w:val="20"/>
              </w:rPr>
            </w:pPr>
            <w:r w:rsidRPr="00321133">
              <w:rPr>
                <w:rFonts w:cs="Arial"/>
                <w:b/>
                <w:sz w:val="20"/>
                <w:szCs w:val="20"/>
              </w:rPr>
              <w:t>The development proposes 950 m² ground floor commercial use (retail and non-retail) and two additional storeys, comprising 15 one, two and three bedroom units for residential use</w:t>
            </w:r>
            <w:r w:rsidRPr="00A16FE5">
              <w:rPr>
                <w:rFonts w:cs="Arial"/>
                <w:sz w:val="20"/>
                <w:szCs w:val="20"/>
              </w:rPr>
              <w:t>. There is potential for basement parking and an active street frontage.</w:t>
            </w:r>
          </w:p>
          <w:p w:rsidR="00143E72" w:rsidRPr="00A16FE5" w:rsidRDefault="00143E72" w:rsidP="00DF030A">
            <w:pPr>
              <w:rPr>
                <w:rFonts w:cs="Arial"/>
                <w:sz w:val="20"/>
                <w:szCs w:val="20"/>
              </w:rPr>
            </w:pPr>
          </w:p>
          <w:p w:rsidR="00143E72" w:rsidRPr="00A16FE5" w:rsidRDefault="00143E72" w:rsidP="00DF030A">
            <w:pPr>
              <w:rPr>
                <w:rFonts w:cs="Arial"/>
                <w:b/>
                <w:sz w:val="20"/>
                <w:szCs w:val="20"/>
              </w:rPr>
            </w:pPr>
            <w:r w:rsidRPr="00A16FE5">
              <w:rPr>
                <w:rFonts w:cs="Arial"/>
                <w:b/>
                <w:sz w:val="20"/>
                <w:szCs w:val="20"/>
              </w:rPr>
              <w:t>Location and Transport</w:t>
            </w:r>
          </w:p>
          <w:p w:rsidR="00143E72" w:rsidRPr="00A16FE5" w:rsidRDefault="00143E72" w:rsidP="00DF030A">
            <w:pPr>
              <w:autoSpaceDE w:val="0"/>
              <w:autoSpaceDN w:val="0"/>
              <w:adjustRightInd w:val="0"/>
              <w:rPr>
                <w:rFonts w:cs="Arial"/>
                <w:sz w:val="20"/>
                <w:szCs w:val="20"/>
              </w:rPr>
            </w:pPr>
            <w:r w:rsidRPr="00A16FE5">
              <w:rPr>
                <w:rFonts w:cs="Arial"/>
                <w:sz w:val="20"/>
                <w:szCs w:val="20"/>
              </w:rPr>
              <w:t>Polding Street is a main collector road in the Fairfield Local Government Area which runs east – west between The Horsley D</w:t>
            </w:r>
            <w:r w:rsidR="00333A94">
              <w:rPr>
                <w:rFonts w:cs="Arial"/>
                <w:sz w:val="20"/>
                <w:szCs w:val="20"/>
              </w:rPr>
              <w:t>rive and the Cumberland Highway</w:t>
            </w:r>
            <w:r w:rsidRPr="00A16FE5">
              <w:rPr>
                <w:rFonts w:cs="Arial"/>
                <w:sz w:val="20"/>
                <w:szCs w:val="20"/>
              </w:rPr>
              <w:t xml:space="preserve">. Bus stops nearby link the site to Cabramatta and Fairfield town centres and provide transport to </w:t>
            </w:r>
            <w:smartTag w:uri="urn:schemas-microsoft-com:office:smarttags" w:element="place">
              <w:smartTag w:uri="urn:schemas-microsoft-com:office:smarttags" w:element="City">
                <w:r w:rsidRPr="00A16FE5">
                  <w:rPr>
                    <w:rFonts w:cs="Arial"/>
                    <w:sz w:val="20"/>
                    <w:szCs w:val="20"/>
                  </w:rPr>
                  <w:t>Fairfield</w:t>
                </w:r>
              </w:smartTag>
            </w:smartTag>
            <w:r w:rsidRPr="00A16FE5">
              <w:rPr>
                <w:rFonts w:cs="Arial"/>
                <w:sz w:val="20"/>
                <w:szCs w:val="20"/>
              </w:rPr>
              <w:t xml:space="preserve"> railway station. </w:t>
            </w:r>
          </w:p>
          <w:p w:rsidR="00143E72" w:rsidRPr="00A16FE5" w:rsidRDefault="00143E72" w:rsidP="00DF030A">
            <w:pPr>
              <w:rPr>
                <w:rFonts w:cs="Arial"/>
                <w:sz w:val="20"/>
                <w:szCs w:val="20"/>
              </w:rPr>
            </w:pPr>
          </w:p>
          <w:p w:rsidR="00143E72" w:rsidRPr="00A16FE5" w:rsidRDefault="00143E72" w:rsidP="00DF030A">
            <w:pPr>
              <w:rPr>
                <w:rFonts w:cs="Arial"/>
                <w:b/>
                <w:sz w:val="20"/>
                <w:szCs w:val="20"/>
              </w:rPr>
            </w:pPr>
            <w:r w:rsidRPr="00A16FE5">
              <w:rPr>
                <w:rFonts w:cs="Arial"/>
                <w:b/>
                <w:sz w:val="20"/>
                <w:szCs w:val="20"/>
              </w:rPr>
              <w:t>Adjoining Development</w:t>
            </w: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On the eastern side, the site adjoins </w:t>
            </w:r>
            <w:smartTag w:uri="urn:schemas-microsoft-com:office:smarttags" w:element="address">
              <w:smartTag w:uri="urn:schemas-microsoft-com:office:smarttags" w:element="Street">
                <w:r w:rsidRPr="00A16FE5">
                  <w:rPr>
                    <w:rFonts w:cs="Arial"/>
                    <w:sz w:val="20"/>
                    <w:szCs w:val="20"/>
                  </w:rPr>
                  <w:t>127-129 Polding St</w:t>
                </w:r>
              </w:smartTag>
            </w:smartTag>
            <w:r w:rsidRPr="00A16FE5">
              <w:rPr>
                <w:rFonts w:cs="Arial"/>
                <w:sz w:val="20"/>
                <w:szCs w:val="20"/>
              </w:rPr>
              <w:t>, comprising a 14-dwelling medium density townhouse and villa development. Car parking for this development is accommodated on site.</w:t>
            </w:r>
          </w:p>
          <w:p w:rsidR="00143E72" w:rsidRPr="00A16FE5" w:rsidRDefault="00143E72" w:rsidP="00DF030A">
            <w:pPr>
              <w:autoSpaceDE w:val="0"/>
              <w:autoSpaceDN w:val="0"/>
              <w:adjustRightInd w:val="0"/>
              <w:rPr>
                <w:rFonts w:cs="Arial"/>
                <w:sz w:val="20"/>
                <w:szCs w:val="20"/>
              </w:rPr>
            </w:pPr>
          </w:p>
          <w:p w:rsidR="00143E72" w:rsidRPr="00A16FE5" w:rsidRDefault="002A4053" w:rsidP="00DF030A">
            <w:pPr>
              <w:autoSpaceDE w:val="0"/>
              <w:autoSpaceDN w:val="0"/>
              <w:adjustRightInd w:val="0"/>
              <w:rPr>
                <w:rFonts w:cs="Arial"/>
                <w:sz w:val="20"/>
                <w:szCs w:val="20"/>
              </w:rPr>
            </w:pPr>
            <w:r>
              <w:rPr>
                <w:rFonts w:cs="Arial"/>
                <w:sz w:val="20"/>
                <w:szCs w:val="20"/>
              </w:rPr>
              <w:t>D</w:t>
            </w:r>
            <w:r w:rsidR="00143E72" w:rsidRPr="00A16FE5">
              <w:rPr>
                <w:rFonts w:cs="Arial"/>
                <w:sz w:val="20"/>
                <w:szCs w:val="20"/>
              </w:rPr>
              <w:t>evelopm</w:t>
            </w:r>
            <w:r>
              <w:rPr>
                <w:rFonts w:cs="Arial"/>
                <w:sz w:val="20"/>
                <w:szCs w:val="20"/>
              </w:rPr>
              <w:t xml:space="preserve">ent to the south is </w:t>
            </w:r>
            <w:r w:rsidR="00143E72" w:rsidRPr="00A16FE5">
              <w:rPr>
                <w:rFonts w:cs="Arial"/>
                <w:sz w:val="20"/>
                <w:szCs w:val="20"/>
              </w:rPr>
              <w:t>a vacant allotment (No.50 Stanbrook Street), recently approved by Council for use as a 58-space at grade car park, associated with the Assyrian Sports and Cultural Club. The site is zoned R3 – Medium Density Residential. There is potential for the site to be used for commercial uses under existing use rights.</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To the west, the site adjoins </w:t>
            </w:r>
            <w:smartTag w:uri="urn:schemas-microsoft-com:office:smarttags" w:element="address">
              <w:smartTag w:uri="urn:schemas-microsoft-com:office:smarttags" w:element="Street">
                <w:r w:rsidRPr="00A16FE5">
                  <w:rPr>
                    <w:rFonts w:cs="Arial"/>
                    <w:sz w:val="20"/>
                    <w:szCs w:val="20"/>
                  </w:rPr>
                  <w:t>133 Polding St</w:t>
                </w:r>
              </w:smartTag>
            </w:smartTag>
            <w:r w:rsidRPr="00A16FE5">
              <w:rPr>
                <w:rFonts w:cs="Arial"/>
                <w:sz w:val="20"/>
                <w:szCs w:val="20"/>
              </w:rPr>
              <w:t xml:space="preserve">, comprising a single storey dwelling and forming the north-eastern fringe of the </w:t>
            </w:r>
            <w:smartTag w:uri="urn:schemas-microsoft-com:office:smarttags" w:element="place">
              <w:smartTag w:uri="urn:schemas-microsoft-com:office:smarttags" w:element="PlaceName">
                <w:r w:rsidRPr="00A16FE5">
                  <w:rPr>
                    <w:rFonts w:cs="Arial"/>
                    <w:sz w:val="20"/>
                    <w:szCs w:val="20"/>
                  </w:rPr>
                  <w:t>Fairfield</w:t>
                </w:r>
              </w:smartTag>
              <w:r w:rsidRPr="00A16FE5">
                <w:rPr>
                  <w:rFonts w:cs="Arial"/>
                  <w:sz w:val="20"/>
                  <w:szCs w:val="20"/>
                </w:rPr>
                <w:t xml:space="preserve"> </w:t>
              </w:r>
              <w:smartTag w:uri="urn:schemas-microsoft-com:office:smarttags" w:element="PlaceType">
                <w:r w:rsidRPr="00A16FE5">
                  <w:rPr>
                    <w:rFonts w:cs="Arial"/>
                    <w:sz w:val="20"/>
                    <w:szCs w:val="20"/>
                  </w:rPr>
                  <w:t>Heights</w:t>
                </w:r>
              </w:smartTag>
            </w:smartTag>
            <w:r w:rsidRPr="00A16FE5">
              <w:rPr>
                <w:rFonts w:cs="Arial"/>
                <w:sz w:val="20"/>
                <w:szCs w:val="20"/>
              </w:rPr>
              <w:t xml:space="preserve"> business site (zoned B2 Local Centre). Council granted consent (21 August 2012) for 133 Polding St to be developed for mixed use development comprising of ground floor commercial and shop top housing comprising of 16 x 2 bedroom units. </w:t>
            </w:r>
            <w:smartTag w:uri="urn:schemas-microsoft-com:office:smarttags" w:element="address">
              <w:smartTag w:uri="urn:schemas-microsoft-com:office:smarttags" w:element="Street">
                <w:r w:rsidRPr="00A16FE5">
                  <w:rPr>
                    <w:rFonts w:cs="Arial"/>
                    <w:sz w:val="20"/>
                    <w:szCs w:val="20"/>
                  </w:rPr>
                  <w:t>133 Polding Street</w:t>
                </w:r>
              </w:smartTag>
            </w:smartTag>
            <w:r w:rsidRPr="00A16FE5">
              <w:rPr>
                <w:rFonts w:cs="Arial"/>
                <w:sz w:val="20"/>
                <w:szCs w:val="20"/>
              </w:rPr>
              <w:t xml:space="preserve"> has similar characteristics in terms of size and topography to the subject site.</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Additional commercial development is situated further west, including a Dominos Pizza and shop top housing.</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To the north, </w:t>
            </w:r>
            <w:smartTag w:uri="urn:schemas-microsoft-com:office:smarttags" w:element="address">
              <w:smartTag w:uri="urn:schemas-microsoft-com:office:smarttags" w:element="Street">
                <w:r w:rsidRPr="00A16FE5">
                  <w:rPr>
                    <w:rFonts w:cs="Arial"/>
                    <w:sz w:val="20"/>
                    <w:szCs w:val="20"/>
                  </w:rPr>
                  <w:t>Polding Street</w:t>
                </w:r>
              </w:smartTag>
            </w:smartTag>
            <w:r w:rsidRPr="00A16FE5">
              <w:rPr>
                <w:rFonts w:cs="Arial"/>
                <w:sz w:val="20"/>
                <w:szCs w:val="20"/>
              </w:rPr>
              <w:t xml:space="preserve"> is comprised of detached single storey cottages including a long day child care centre with direct frontage and access rights to </w:t>
            </w:r>
            <w:smartTag w:uri="urn:schemas-microsoft-com:office:smarttags" w:element="address">
              <w:smartTag w:uri="urn:schemas-microsoft-com:office:smarttags" w:element="Street">
                <w:r w:rsidRPr="00A16FE5">
                  <w:rPr>
                    <w:rFonts w:cs="Arial"/>
                    <w:sz w:val="20"/>
                    <w:szCs w:val="20"/>
                  </w:rPr>
                  <w:t>Polding Street</w:t>
                </w:r>
              </w:smartTag>
            </w:smartTag>
            <w:r w:rsidRPr="00A16FE5">
              <w:rPr>
                <w:rFonts w:cs="Arial"/>
                <w:sz w:val="20"/>
                <w:szCs w:val="20"/>
              </w:rPr>
              <w:t>.</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The subject site is one of the last and only allotments </w:t>
            </w:r>
            <w:r w:rsidR="00554E20">
              <w:rPr>
                <w:rFonts w:cs="Arial"/>
                <w:sz w:val="20"/>
                <w:szCs w:val="20"/>
              </w:rPr>
              <w:t>supporting a single dwelling</w:t>
            </w:r>
            <w:r w:rsidR="00333A94">
              <w:rPr>
                <w:rFonts w:cs="Arial"/>
                <w:sz w:val="20"/>
                <w:szCs w:val="20"/>
              </w:rPr>
              <w:t xml:space="preserve"> </w:t>
            </w:r>
            <w:r w:rsidRPr="00A16FE5">
              <w:rPr>
                <w:rFonts w:cs="Arial"/>
                <w:sz w:val="20"/>
                <w:szCs w:val="20"/>
              </w:rPr>
              <w:t>on this stretch of Polding Street.</w:t>
            </w:r>
          </w:p>
          <w:p w:rsidR="00143E72" w:rsidRPr="00A16FE5" w:rsidRDefault="00143E72" w:rsidP="00DF030A">
            <w:pPr>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b/>
                <w:sz w:val="20"/>
                <w:szCs w:val="20"/>
              </w:rPr>
              <w:t>Prohibition of ‘</w:t>
            </w:r>
            <w:r w:rsidRPr="00A16FE5">
              <w:rPr>
                <w:rFonts w:cs="Arial"/>
                <w:b/>
                <w:i/>
                <w:sz w:val="20"/>
                <w:szCs w:val="20"/>
              </w:rPr>
              <w:t>food and drink premises’</w:t>
            </w: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The applicant made a submission to Council in April 2013, requesting that the proposal be revised to include an additional local provision to prohibit </w:t>
            </w:r>
            <w:r w:rsidRPr="00A16FE5">
              <w:rPr>
                <w:rFonts w:cs="Arial"/>
                <w:i/>
                <w:iCs/>
                <w:sz w:val="20"/>
                <w:szCs w:val="20"/>
              </w:rPr>
              <w:t xml:space="preserve">‘food and drink premises’ </w:t>
            </w:r>
            <w:r w:rsidRPr="00A16FE5">
              <w:rPr>
                <w:rFonts w:cs="Arial"/>
                <w:sz w:val="20"/>
                <w:szCs w:val="20"/>
              </w:rPr>
              <w:t xml:space="preserve">in order to address community concerns relating to traffic in the locality, in particular short term pick-up of fast food. </w:t>
            </w:r>
          </w:p>
          <w:p w:rsidR="00143E72" w:rsidRPr="00A16FE5" w:rsidRDefault="00143E72" w:rsidP="00DF030A">
            <w:pPr>
              <w:autoSpaceDE w:val="0"/>
              <w:autoSpaceDN w:val="0"/>
              <w:adjustRightInd w:val="0"/>
              <w:rPr>
                <w:rFonts w:cs="Arial"/>
                <w:sz w:val="20"/>
                <w:szCs w:val="20"/>
              </w:rPr>
            </w:pPr>
          </w:p>
          <w:p w:rsidR="00143E72" w:rsidRPr="00A16FE5" w:rsidRDefault="00143E72" w:rsidP="00554E20">
            <w:pPr>
              <w:autoSpaceDE w:val="0"/>
              <w:autoSpaceDN w:val="0"/>
              <w:adjustRightInd w:val="0"/>
              <w:rPr>
                <w:rFonts w:cs="Arial"/>
                <w:sz w:val="20"/>
                <w:szCs w:val="20"/>
              </w:rPr>
            </w:pPr>
            <w:r w:rsidRPr="00A16FE5">
              <w:rPr>
                <w:rFonts w:cs="Arial"/>
                <w:sz w:val="20"/>
                <w:szCs w:val="20"/>
              </w:rPr>
              <w:t xml:space="preserve">Council </w:t>
            </w:r>
            <w:r w:rsidR="00554E20">
              <w:rPr>
                <w:rFonts w:cs="Arial"/>
                <w:sz w:val="20"/>
                <w:szCs w:val="20"/>
              </w:rPr>
              <w:t xml:space="preserve">has been advised that prohibition of certain land uses </w:t>
            </w:r>
            <w:r w:rsidRPr="00A16FE5">
              <w:rPr>
                <w:rFonts w:cs="Arial"/>
                <w:sz w:val="20"/>
                <w:szCs w:val="20"/>
              </w:rPr>
              <w:t xml:space="preserve">should be done under the land use table which would affect the entire B2 Local Centre zone. In addition the applicant is seeking to prohibit a mandated land use. The land use </w:t>
            </w:r>
            <w:r w:rsidRPr="00A16FE5">
              <w:rPr>
                <w:rFonts w:cs="Arial"/>
                <w:i/>
                <w:iCs/>
                <w:sz w:val="20"/>
                <w:szCs w:val="20"/>
              </w:rPr>
              <w:t xml:space="preserve">‘Food and drink premises’ </w:t>
            </w:r>
            <w:r w:rsidRPr="00A16FE5">
              <w:rPr>
                <w:rFonts w:cs="Arial"/>
                <w:sz w:val="20"/>
                <w:szCs w:val="20"/>
              </w:rPr>
              <w:t xml:space="preserve">comes under the group term of </w:t>
            </w:r>
            <w:r w:rsidRPr="00A16FE5">
              <w:rPr>
                <w:rFonts w:cs="Arial"/>
                <w:i/>
                <w:iCs/>
                <w:sz w:val="20"/>
                <w:szCs w:val="20"/>
              </w:rPr>
              <w:t xml:space="preserve">‘Commercial premises’ </w:t>
            </w:r>
            <w:r w:rsidRPr="00A16FE5">
              <w:rPr>
                <w:rFonts w:cs="Arial"/>
                <w:sz w:val="20"/>
                <w:szCs w:val="20"/>
              </w:rPr>
              <w:t>which is a mandated use under the B2 Local Cent</w:t>
            </w:r>
            <w:r w:rsidR="00554E20">
              <w:rPr>
                <w:rFonts w:cs="Arial"/>
                <w:sz w:val="20"/>
                <w:szCs w:val="20"/>
              </w:rPr>
              <w:t>re zone. M</w:t>
            </w:r>
            <w:r w:rsidRPr="00A16FE5">
              <w:rPr>
                <w:rFonts w:cs="Arial"/>
                <w:sz w:val="20"/>
                <w:szCs w:val="20"/>
              </w:rPr>
              <w:t>andated uses provided by the Standard Instrument Order must be retained.</w:t>
            </w:r>
          </w:p>
          <w:p w:rsidR="00143E72" w:rsidRDefault="00143E72" w:rsidP="00DF030A">
            <w:pPr>
              <w:rPr>
                <w:rFonts w:cs="Arial"/>
                <w:sz w:val="20"/>
                <w:szCs w:val="20"/>
              </w:rPr>
            </w:pPr>
          </w:p>
          <w:p w:rsidR="00143E72" w:rsidRDefault="00143E72" w:rsidP="00DF030A">
            <w:pPr>
              <w:rPr>
                <w:rFonts w:cs="Arial"/>
                <w:sz w:val="20"/>
                <w:szCs w:val="20"/>
              </w:rPr>
            </w:pPr>
          </w:p>
          <w:p w:rsidR="00143E72" w:rsidRPr="00582D1F" w:rsidRDefault="00143E72" w:rsidP="00DF030A">
            <w:pPr>
              <w:rPr>
                <w:rFonts w:cs="Arial"/>
                <w:b/>
                <w:bCs/>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Default="00143E72" w:rsidP="00DF030A">
            <w:pPr>
              <w:rPr>
                <w:rFonts w:cs="Arial"/>
                <w:sz w:val="20"/>
                <w:szCs w:val="20"/>
              </w:rPr>
            </w:pPr>
          </w:p>
          <w:p w:rsidR="00143E72" w:rsidRPr="00577DF5" w:rsidRDefault="00143E72" w:rsidP="00DF030A">
            <w:pPr>
              <w:rPr>
                <w:rFonts w:cs="Arial"/>
                <w:sz w:val="20"/>
                <w:szCs w:val="20"/>
              </w:rPr>
            </w:pP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3118" w:type="dxa"/>
            <w:gridSpan w:val="2"/>
            <w:shd w:val="clear" w:color="auto" w:fill="FFFF99"/>
            <w:noWrap/>
            <w:tcMar>
              <w:top w:w="57" w:type="dxa"/>
              <w:left w:w="57" w:type="dxa"/>
              <w:bottom w:w="57" w:type="dxa"/>
              <w:right w:w="57" w:type="dxa"/>
            </w:tcMar>
          </w:tcPr>
          <w:p w:rsidR="00143E72" w:rsidRPr="00577DF5" w:rsidRDefault="00143E72" w:rsidP="00DF030A">
            <w:pPr>
              <w:spacing w:before="60" w:after="60"/>
              <w:rPr>
                <w:rFonts w:cs="Arial"/>
                <w:b/>
                <w:bCs/>
                <w:sz w:val="20"/>
                <w:szCs w:val="20"/>
              </w:rPr>
            </w:pPr>
            <w:r w:rsidRPr="00577DF5">
              <w:rPr>
                <w:rFonts w:cs="Arial"/>
                <w:b/>
                <w:bCs/>
                <w:sz w:val="20"/>
                <w:szCs w:val="20"/>
              </w:rPr>
              <w:lastRenderedPageBreak/>
              <w:t>Copy of initial request to council to prepare planning proposal:</w:t>
            </w:r>
          </w:p>
        </w:tc>
        <w:tc>
          <w:tcPr>
            <w:tcW w:w="1701" w:type="dxa"/>
            <w:gridSpan w:val="2"/>
            <w:shd w:val="clear" w:color="auto" w:fill="FFFF99"/>
            <w:noWrap/>
            <w:tcMar>
              <w:top w:w="57" w:type="dxa"/>
              <w:left w:w="57" w:type="dxa"/>
              <w:bottom w:w="57" w:type="dxa"/>
              <w:right w:w="57" w:type="dxa"/>
            </w:tcMar>
            <w:vAlign w:val="center"/>
          </w:tcPr>
          <w:p w:rsidR="00143E72" w:rsidRPr="00577DF5" w:rsidRDefault="00BE5C1D" w:rsidP="00DF030A">
            <w:pPr>
              <w:spacing w:before="60"/>
              <w:rPr>
                <w:rFonts w:cs="Arial"/>
                <w:sz w:val="20"/>
                <w:szCs w:val="20"/>
              </w:rPr>
            </w:pPr>
            <w:r>
              <w:rPr>
                <w:rFonts w:cs="Arial"/>
                <w:sz w:val="20"/>
                <w:szCs w:val="20"/>
              </w:rPr>
              <w:fldChar w:fldCharType="begin">
                <w:ffData>
                  <w:name w:val=""/>
                  <w:enabled/>
                  <w:calcOnExit w:val="0"/>
                  <w:checkBox>
                    <w:size w:val="20"/>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r w:rsidR="00143E72" w:rsidRPr="00577DF5">
              <w:rPr>
                <w:rFonts w:cs="Arial"/>
                <w:sz w:val="20"/>
                <w:szCs w:val="20"/>
              </w:rPr>
              <w:t xml:space="preserve"> Provided</w:t>
            </w:r>
          </w:p>
          <w:p w:rsidR="00143E72" w:rsidRPr="00577DF5" w:rsidRDefault="00BE5C1D" w:rsidP="00DF030A">
            <w:pPr>
              <w:spacing w:after="60"/>
              <w:ind w:right="-108"/>
              <w:rPr>
                <w:rFonts w:cs="Arial"/>
                <w:sz w:val="20"/>
                <w:szCs w:val="20"/>
              </w:rPr>
            </w:pPr>
            <w:r w:rsidRPr="00577DF5">
              <w:rPr>
                <w:rFonts w:cs="Arial"/>
                <w:sz w:val="20"/>
                <w:szCs w:val="20"/>
              </w:rPr>
              <w:fldChar w:fldCharType="begin">
                <w:ffData>
                  <w:name w:val=""/>
                  <w:enabled/>
                  <w:calcOnExit w:val="0"/>
                  <w:checkBox>
                    <w:size w:val="20"/>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r w:rsidR="00143E72" w:rsidRPr="00577DF5">
              <w:rPr>
                <w:rFonts w:cs="Arial"/>
                <w:sz w:val="20"/>
                <w:szCs w:val="20"/>
              </w:rPr>
              <w:t xml:space="preserve"> Not provided</w:t>
            </w:r>
          </w:p>
        </w:tc>
        <w:tc>
          <w:tcPr>
            <w:tcW w:w="1134" w:type="dxa"/>
            <w:gridSpan w:val="3"/>
            <w:shd w:val="clear" w:color="auto" w:fill="FFFF99"/>
            <w:noWrap/>
            <w:tcMar>
              <w:top w:w="57" w:type="dxa"/>
              <w:left w:w="57" w:type="dxa"/>
              <w:bottom w:w="57" w:type="dxa"/>
              <w:right w:w="57" w:type="dxa"/>
            </w:tcMar>
            <w:vAlign w:val="center"/>
          </w:tcPr>
          <w:p w:rsidR="00143E72" w:rsidRPr="00577DF5" w:rsidRDefault="00143E72" w:rsidP="00DF030A">
            <w:pPr>
              <w:ind w:right="-108"/>
              <w:rPr>
                <w:rFonts w:cs="Arial"/>
                <w:b/>
                <w:sz w:val="20"/>
                <w:szCs w:val="20"/>
              </w:rPr>
            </w:pPr>
            <w:r w:rsidRPr="00577DF5">
              <w:rPr>
                <w:rFonts w:cs="Arial"/>
                <w:b/>
                <w:sz w:val="20"/>
                <w:szCs w:val="20"/>
              </w:rPr>
              <w:t>Comment:</w:t>
            </w:r>
          </w:p>
        </w:tc>
        <w:tc>
          <w:tcPr>
            <w:tcW w:w="4535" w:type="dxa"/>
            <w:gridSpan w:val="2"/>
            <w:shd w:val="clear" w:color="auto" w:fill="FFFF99"/>
            <w:noWrap/>
            <w:tcMar>
              <w:top w:w="57" w:type="dxa"/>
              <w:left w:w="57" w:type="dxa"/>
              <w:bottom w:w="57" w:type="dxa"/>
              <w:right w:w="57" w:type="dxa"/>
            </w:tcMar>
            <w:vAlign w:val="center"/>
          </w:tcPr>
          <w:p w:rsidR="00143E72" w:rsidRPr="00577DF5" w:rsidRDefault="00143E72" w:rsidP="00DF030A">
            <w:pPr>
              <w:rPr>
                <w:rFonts w:cs="Arial"/>
                <w:sz w:val="20"/>
                <w:szCs w:val="20"/>
              </w:rPr>
            </w:pPr>
          </w:p>
        </w:tc>
      </w:tr>
      <w:tr w:rsidR="00143E72" w:rsidRPr="00577DF5" w:rsidTr="00DF0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cantSplit/>
          <w:trHeight w:val="340"/>
        </w:trPr>
        <w:tc>
          <w:tcPr>
            <w:tcW w:w="3118" w:type="dxa"/>
            <w:gridSpan w:val="2"/>
            <w:shd w:val="clear" w:color="auto" w:fill="FFFF99"/>
            <w:noWrap/>
            <w:tcMar>
              <w:top w:w="57" w:type="dxa"/>
              <w:left w:w="57" w:type="dxa"/>
              <w:bottom w:w="57" w:type="dxa"/>
              <w:right w:w="57" w:type="dxa"/>
            </w:tcMar>
          </w:tcPr>
          <w:p w:rsidR="00143E72" w:rsidRPr="00577DF5" w:rsidRDefault="00143E72" w:rsidP="00DF030A">
            <w:pPr>
              <w:spacing w:before="60" w:after="60"/>
              <w:rPr>
                <w:rFonts w:cs="Arial"/>
                <w:b/>
                <w:bCs/>
                <w:sz w:val="20"/>
                <w:szCs w:val="20"/>
              </w:rPr>
            </w:pPr>
            <w:r w:rsidRPr="00577DF5">
              <w:rPr>
                <w:rFonts w:cs="Arial"/>
                <w:b/>
                <w:bCs/>
                <w:sz w:val="20"/>
                <w:szCs w:val="20"/>
              </w:rPr>
              <w:t>Is a disclosure statement relating to reportable political donations under s147 of the Act required</w:t>
            </w:r>
            <w:r>
              <w:rPr>
                <w:rFonts w:cs="Arial"/>
                <w:b/>
                <w:bCs/>
                <w:sz w:val="20"/>
                <w:szCs w:val="20"/>
              </w:rPr>
              <w:t xml:space="preserve"> and provided</w:t>
            </w:r>
            <w:r w:rsidRPr="00577DF5">
              <w:rPr>
                <w:rFonts w:cs="Arial"/>
                <w:b/>
                <w:bCs/>
                <w:sz w:val="20"/>
                <w:szCs w:val="20"/>
              </w:rPr>
              <w:t>?</w:t>
            </w:r>
          </w:p>
        </w:tc>
        <w:tc>
          <w:tcPr>
            <w:tcW w:w="1701" w:type="dxa"/>
            <w:gridSpan w:val="2"/>
            <w:shd w:val="clear" w:color="auto" w:fill="FFFF99"/>
            <w:noWrap/>
            <w:tcMar>
              <w:top w:w="57" w:type="dxa"/>
              <w:left w:w="57" w:type="dxa"/>
              <w:bottom w:w="57" w:type="dxa"/>
              <w:right w:w="57" w:type="dxa"/>
            </w:tcMar>
            <w:vAlign w:val="center"/>
          </w:tcPr>
          <w:p w:rsidR="00143E72" w:rsidRPr="00577DF5" w:rsidRDefault="00BE5C1D" w:rsidP="00DF030A">
            <w:pPr>
              <w:spacing w:before="60"/>
              <w:rPr>
                <w:rFonts w:cs="Arial"/>
                <w:sz w:val="20"/>
                <w:szCs w:val="20"/>
              </w:rPr>
            </w:pPr>
            <w:r>
              <w:rPr>
                <w:rFonts w:cs="Arial"/>
                <w:sz w:val="20"/>
                <w:szCs w:val="20"/>
              </w:rPr>
              <w:fldChar w:fldCharType="begin">
                <w:ffData>
                  <w:name w:val=""/>
                  <w:enabled/>
                  <w:calcOnExit w:val="0"/>
                  <w:checkBox>
                    <w:size w:val="20"/>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r w:rsidR="00143E72" w:rsidRPr="00577DF5">
              <w:rPr>
                <w:rFonts w:cs="Arial"/>
                <w:sz w:val="20"/>
                <w:szCs w:val="20"/>
              </w:rPr>
              <w:t xml:space="preserve"> Provided</w:t>
            </w:r>
          </w:p>
          <w:p w:rsidR="00143E72" w:rsidRPr="00577DF5" w:rsidRDefault="00BE5C1D" w:rsidP="00DF030A">
            <w:pPr>
              <w:spacing w:after="60"/>
              <w:rPr>
                <w:rFonts w:cs="Arial"/>
                <w:sz w:val="20"/>
                <w:szCs w:val="20"/>
              </w:rPr>
            </w:pPr>
            <w:r w:rsidRPr="00577DF5">
              <w:rPr>
                <w:rFonts w:cs="Arial"/>
                <w:sz w:val="20"/>
                <w:szCs w:val="20"/>
              </w:rPr>
              <w:fldChar w:fldCharType="begin">
                <w:ffData>
                  <w:name w:val=""/>
                  <w:enabled/>
                  <w:calcOnExit w:val="0"/>
                  <w:checkBox>
                    <w:size w:val="20"/>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r w:rsidR="00143E72" w:rsidRPr="00577DF5">
              <w:rPr>
                <w:rFonts w:cs="Arial"/>
                <w:sz w:val="20"/>
                <w:szCs w:val="20"/>
              </w:rPr>
              <w:t xml:space="preserve"> N/A</w:t>
            </w:r>
          </w:p>
        </w:tc>
        <w:tc>
          <w:tcPr>
            <w:tcW w:w="1134" w:type="dxa"/>
            <w:gridSpan w:val="3"/>
            <w:shd w:val="clear" w:color="auto" w:fill="FFFF99"/>
            <w:noWrap/>
            <w:tcMar>
              <w:top w:w="57" w:type="dxa"/>
              <w:left w:w="57" w:type="dxa"/>
              <w:bottom w:w="57" w:type="dxa"/>
              <w:right w:w="57" w:type="dxa"/>
            </w:tcMar>
            <w:vAlign w:val="center"/>
          </w:tcPr>
          <w:p w:rsidR="00143E72" w:rsidRPr="00577DF5" w:rsidRDefault="00143E72" w:rsidP="00DF030A">
            <w:pPr>
              <w:ind w:right="-108"/>
              <w:rPr>
                <w:rFonts w:cs="Arial"/>
                <w:b/>
                <w:sz w:val="20"/>
                <w:szCs w:val="20"/>
              </w:rPr>
            </w:pPr>
            <w:r w:rsidRPr="00577DF5">
              <w:rPr>
                <w:rFonts w:cs="Arial"/>
                <w:b/>
                <w:sz w:val="20"/>
                <w:szCs w:val="20"/>
              </w:rPr>
              <w:t>Comment:</w:t>
            </w:r>
          </w:p>
        </w:tc>
        <w:tc>
          <w:tcPr>
            <w:tcW w:w="4535" w:type="dxa"/>
            <w:gridSpan w:val="2"/>
            <w:shd w:val="clear" w:color="auto" w:fill="FFFF99"/>
            <w:noWrap/>
            <w:tcMar>
              <w:top w:w="57" w:type="dxa"/>
              <w:left w:w="57" w:type="dxa"/>
              <w:bottom w:w="57" w:type="dxa"/>
              <w:right w:w="57" w:type="dxa"/>
            </w:tcMar>
            <w:vAlign w:val="center"/>
          </w:tcPr>
          <w:p w:rsidR="00143E72" w:rsidRPr="00577DF5" w:rsidRDefault="00143E72" w:rsidP="00DF030A">
            <w:pPr>
              <w:rPr>
                <w:rFonts w:cs="Arial"/>
                <w:sz w:val="20"/>
                <w:szCs w:val="20"/>
              </w:rPr>
            </w:pPr>
          </w:p>
        </w:tc>
      </w:tr>
    </w:tbl>
    <w:p w:rsidR="00143E72" w:rsidRPr="00435338" w:rsidRDefault="00143E72" w:rsidP="003E1780">
      <w:pPr>
        <w:shd w:val="clear" w:color="auto" w:fill="808080"/>
        <w:tabs>
          <w:tab w:val="left" w:pos="3060"/>
          <w:tab w:val="left" w:pos="4860"/>
        </w:tabs>
        <w:spacing w:before="120" w:after="120"/>
        <w:rPr>
          <w:rFonts w:cs="Arial"/>
          <w:i/>
          <w:color w:val="FFFFFF"/>
          <w:sz w:val="18"/>
          <w:szCs w:val="18"/>
        </w:rPr>
      </w:pPr>
      <w:r w:rsidRPr="00435338">
        <w:rPr>
          <w:rFonts w:cs="Arial"/>
          <w:b/>
          <w:color w:val="FFFFFF"/>
          <w:sz w:val="26"/>
          <w:szCs w:val="26"/>
        </w:rPr>
        <w:t>Required for all proposals</w:t>
      </w:r>
      <w:r w:rsidRPr="00435338">
        <w:rPr>
          <w:rFonts w:cs="Arial"/>
          <w:b/>
          <w:color w:val="FFFFFF"/>
          <w:sz w:val="22"/>
          <w:szCs w:val="22"/>
        </w:rPr>
        <w:t xml:space="preserve"> </w:t>
      </w:r>
      <w:r w:rsidRPr="00435338">
        <w:rPr>
          <w:rFonts w:cs="Arial"/>
          <w:i/>
          <w:color w:val="FFFFFF"/>
          <w:sz w:val="18"/>
          <w:szCs w:val="18"/>
        </w:rPr>
        <w:t>(under s55(a) – (e) of the EP&amp;A Act)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709"/>
        <w:gridCol w:w="709"/>
        <w:gridCol w:w="4252"/>
      </w:tblGrid>
      <w:tr w:rsidR="00143E72" w:rsidRPr="00577DF5" w:rsidTr="00DF030A">
        <w:trPr>
          <w:trHeight w:val="632"/>
          <w:jc w:val="center"/>
        </w:trPr>
        <w:tc>
          <w:tcPr>
            <w:tcW w:w="4819" w:type="dxa"/>
            <w:vAlign w:val="center"/>
          </w:tcPr>
          <w:p w:rsidR="00143E72" w:rsidRPr="00577DF5" w:rsidRDefault="00143E72" w:rsidP="00DF030A">
            <w:pPr>
              <w:rPr>
                <w:rFonts w:cs="Arial"/>
                <w:b/>
                <w:sz w:val="20"/>
                <w:szCs w:val="20"/>
              </w:rPr>
            </w:pPr>
            <w:r w:rsidRPr="00577DF5">
              <w:rPr>
                <w:rFonts w:cs="Arial"/>
                <w:b/>
                <w:sz w:val="20"/>
                <w:szCs w:val="20"/>
              </w:rPr>
              <w:t>Requirement</w:t>
            </w:r>
          </w:p>
        </w:tc>
        <w:tc>
          <w:tcPr>
            <w:tcW w:w="709" w:type="dxa"/>
            <w:vAlign w:val="center"/>
          </w:tcPr>
          <w:p w:rsidR="00143E72" w:rsidRPr="00577DF5" w:rsidRDefault="00143E72" w:rsidP="00DF030A">
            <w:pPr>
              <w:jc w:val="center"/>
              <w:rPr>
                <w:rFonts w:cs="Arial"/>
                <w:b/>
                <w:sz w:val="20"/>
                <w:szCs w:val="20"/>
              </w:rPr>
            </w:pPr>
            <w:r>
              <w:rPr>
                <w:rFonts w:cs="Arial"/>
                <w:b/>
                <w:sz w:val="20"/>
                <w:szCs w:val="20"/>
              </w:rPr>
              <w:t>Yes</w:t>
            </w:r>
          </w:p>
        </w:tc>
        <w:tc>
          <w:tcPr>
            <w:tcW w:w="709" w:type="dxa"/>
            <w:vAlign w:val="center"/>
          </w:tcPr>
          <w:p w:rsidR="00143E72" w:rsidRPr="00577DF5" w:rsidRDefault="00143E72" w:rsidP="00DF030A">
            <w:pPr>
              <w:jc w:val="center"/>
              <w:rPr>
                <w:rFonts w:cs="Arial"/>
                <w:b/>
                <w:sz w:val="20"/>
                <w:szCs w:val="20"/>
              </w:rPr>
            </w:pPr>
            <w:r>
              <w:rPr>
                <w:rFonts w:cs="Arial"/>
                <w:b/>
                <w:sz w:val="20"/>
                <w:szCs w:val="20"/>
              </w:rPr>
              <w:t>No</w:t>
            </w:r>
          </w:p>
        </w:tc>
        <w:tc>
          <w:tcPr>
            <w:tcW w:w="4252" w:type="dxa"/>
            <w:vAlign w:val="center"/>
          </w:tcPr>
          <w:p w:rsidR="00143E72" w:rsidRPr="00577DF5" w:rsidRDefault="00143E72" w:rsidP="00DF030A">
            <w:pPr>
              <w:rPr>
                <w:rFonts w:cs="Arial"/>
                <w:b/>
                <w:sz w:val="20"/>
                <w:szCs w:val="20"/>
              </w:rPr>
            </w:pPr>
            <w:r w:rsidRPr="00577DF5">
              <w:rPr>
                <w:rFonts w:cs="Arial"/>
                <w:b/>
                <w:sz w:val="20"/>
                <w:szCs w:val="20"/>
              </w:rPr>
              <w:t xml:space="preserve">Comments </w:t>
            </w:r>
          </w:p>
        </w:tc>
      </w:tr>
      <w:tr w:rsidR="00143E72" w:rsidRPr="00577DF5" w:rsidTr="00DF030A">
        <w:trPr>
          <w:trHeight w:val="340"/>
          <w:jc w:val="center"/>
        </w:trPr>
        <w:tc>
          <w:tcPr>
            <w:tcW w:w="4819" w:type="dxa"/>
            <w:vAlign w:val="center"/>
          </w:tcPr>
          <w:p w:rsidR="00143E72" w:rsidRPr="00577DF5" w:rsidRDefault="00143E72" w:rsidP="00DF030A">
            <w:pPr>
              <w:numPr>
                <w:ilvl w:val="0"/>
                <w:numId w:val="3"/>
              </w:numPr>
              <w:tabs>
                <w:tab w:val="clear" w:pos="360"/>
                <w:tab w:val="num" w:pos="252"/>
              </w:tabs>
              <w:spacing w:before="60" w:after="60"/>
              <w:ind w:left="252" w:hanging="252"/>
              <w:rPr>
                <w:rFonts w:cs="Arial"/>
                <w:b/>
                <w:sz w:val="20"/>
                <w:szCs w:val="20"/>
              </w:rPr>
            </w:pPr>
            <w:r w:rsidRPr="00577DF5">
              <w:rPr>
                <w:rFonts w:cs="Arial"/>
                <w:b/>
                <w:sz w:val="20"/>
                <w:szCs w:val="20"/>
              </w:rPr>
              <w:t>Objectives and intended outcome</w:t>
            </w:r>
          </w:p>
          <w:p w:rsidR="00143E72" w:rsidRPr="00577DF5" w:rsidRDefault="00143E72" w:rsidP="00DF030A">
            <w:pPr>
              <w:spacing w:before="60" w:after="60"/>
              <w:ind w:left="249"/>
              <w:rPr>
                <w:rFonts w:cs="Arial"/>
                <w:sz w:val="20"/>
                <w:szCs w:val="20"/>
              </w:rPr>
            </w:pPr>
            <w:r w:rsidRPr="00577DF5">
              <w:rPr>
                <w:rFonts w:cs="Arial"/>
                <w:sz w:val="20"/>
                <w:szCs w:val="20"/>
              </w:rPr>
              <w:t>Is it clear what the proposal is trying to achieve?</w:t>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4252" w:type="dxa"/>
            <w:vAlign w:val="center"/>
          </w:tcPr>
          <w:p w:rsidR="00143E72" w:rsidRPr="00577DF5" w:rsidRDefault="00143E72" w:rsidP="00DF030A">
            <w:pPr>
              <w:rPr>
                <w:rFonts w:cs="Arial"/>
                <w:sz w:val="20"/>
                <w:szCs w:val="20"/>
              </w:rPr>
            </w:pPr>
          </w:p>
        </w:tc>
      </w:tr>
      <w:tr w:rsidR="00143E72" w:rsidRPr="00577DF5" w:rsidTr="00DF030A">
        <w:trPr>
          <w:trHeight w:val="340"/>
          <w:jc w:val="center"/>
        </w:trPr>
        <w:tc>
          <w:tcPr>
            <w:tcW w:w="4819" w:type="dxa"/>
            <w:vAlign w:val="center"/>
          </w:tcPr>
          <w:p w:rsidR="00143E72" w:rsidRPr="00577DF5" w:rsidRDefault="00143E72" w:rsidP="00DF030A">
            <w:pPr>
              <w:numPr>
                <w:ilvl w:val="0"/>
                <w:numId w:val="3"/>
              </w:numPr>
              <w:tabs>
                <w:tab w:val="clear" w:pos="360"/>
                <w:tab w:val="num" w:pos="252"/>
              </w:tabs>
              <w:spacing w:before="60" w:after="60"/>
              <w:ind w:left="252" w:hanging="252"/>
              <w:rPr>
                <w:rFonts w:cs="Arial"/>
                <w:b/>
                <w:sz w:val="20"/>
                <w:szCs w:val="20"/>
              </w:rPr>
            </w:pPr>
            <w:r w:rsidRPr="00577DF5">
              <w:rPr>
                <w:rFonts w:cs="Arial"/>
                <w:b/>
                <w:sz w:val="20"/>
                <w:szCs w:val="20"/>
              </w:rPr>
              <w:t>Explanation of provisions</w:t>
            </w:r>
          </w:p>
          <w:p w:rsidR="00143E72" w:rsidRPr="00577DF5" w:rsidRDefault="00143E72" w:rsidP="00DF030A">
            <w:pPr>
              <w:spacing w:before="60" w:after="60"/>
              <w:ind w:left="249"/>
              <w:rPr>
                <w:rFonts w:cs="Arial"/>
                <w:sz w:val="20"/>
                <w:szCs w:val="20"/>
              </w:rPr>
            </w:pPr>
            <w:r w:rsidRPr="00577DF5">
              <w:rPr>
                <w:rFonts w:cs="Arial"/>
                <w:sz w:val="20"/>
                <w:szCs w:val="20"/>
              </w:rPr>
              <w:t>Does the proposal include details about the provisions in the LEP that may/will need to be amended to deliver desired outcome?</w:t>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4252" w:type="dxa"/>
            <w:vAlign w:val="center"/>
          </w:tcPr>
          <w:p w:rsidR="00143E72" w:rsidRPr="00577DF5" w:rsidRDefault="00143E72" w:rsidP="00DF030A">
            <w:pPr>
              <w:rPr>
                <w:rFonts w:cs="Arial"/>
                <w:sz w:val="20"/>
                <w:szCs w:val="20"/>
              </w:rPr>
            </w:pPr>
          </w:p>
        </w:tc>
      </w:tr>
      <w:tr w:rsidR="00143E72" w:rsidRPr="00577DF5" w:rsidTr="00DF030A">
        <w:trPr>
          <w:trHeight w:val="340"/>
          <w:jc w:val="center"/>
        </w:trPr>
        <w:tc>
          <w:tcPr>
            <w:tcW w:w="4819" w:type="dxa"/>
            <w:vAlign w:val="center"/>
          </w:tcPr>
          <w:p w:rsidR="00143E72" w:rsidRPr="00577DF5" w:rsidRDefault="00143E72" w:rsidP="00DF030A">
            <w:pPr>
              <w:numPr>
                <w:ilvl w:val="0"/>
                <w:numId w:val="3"/>
              </w:numPr>
              <w:tabs>
                <w:tab w:val="clear" w:pos="360"/>
              </w:tabs>
              <w:spacing w:before="60" w:after="60"/>
              <w:ind w:left="252" w:hanging="252"/>
              <w:rPr>
                <w:rFonts w:cs="Arial"/>
                <w:b/>
                <w:sz w:val="20"/>
                <w:szCs w:val="20"/>
              </w:rPr>
            </w:pPr>
            <w:r w:rsidRPr="00577DF5">
              <w:rPr>
                <w:rFonts w:cs="Arial"/>
                <w:b/>
                <w:sz w:val="20"/>
                <w:szCs w:val="20"/>
              </w:rPr>
              <w:t xml:space="preserve">Justification and process for implementation (including </w:t>
            </w:r>
            <w:r>
              <w:rPr>
                <w:rFonts w:cs="Arial"/>
                <w:b/>
                <w:sz w:val="20"/>
                <w:szCs w:val="20"/>
              </w:rPr>
              <w:t xml:space="preserve">initial </w:t>
            </w:r>
            <w:r w:rsidRPr="00577DF5">
              <w:rPr>
                <w:rFonts w:cs="Arial"/>
                <w:b/>
                <w:sz w:val="20"/>
                <w:szCs w:val="20"/>
              </w:rPr>
              <w:t>compliance assessment against relevant section 117 direction/s)</w:t>
            </w:r>
          </w:p>
          <w:p w:rsidR="00143E72" w:rsidRPr="00577DF5" w:rsidRDefault="00143E72" w:rsidP="00DF030A">
            <w:pPr>
              <w:spacing w:before="60" w:after="60"/>
              <w:ind w:left="249"/>
              <w:rPr>
                <w:rFonts w:cs="Arial"/>
                <w:sz w:val="20"/>
                <w:szCs w:val="20"/>
              </w:rPr>
            </w:pPr>
            <w:r w:rsidRPr="00577DF5">
              <w:rPr>
                <w:rFonts w:cs="Arial"/>
                <w:sz w:val="20"/>
                <w:szCs w:val="20"/>
              </w:rPr>
              <w:t xml:space="preserve">Does the proposal include information about consistency with strategic planning framework including regional/sub-regional strategies and s117 Directions etc? </w:t>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4252" w:type="dxa"/>
            <w:vAlign w:val="center"/>
          </w:tcPr>
          <w:p w:rsidR="00143E72" w:rsidRPr="00577DF5" w:rsidRDefault="00143E72" w:rsidP="00DF030A">
            <w:pPr>
              <w:rPr>
                <w:rFonts w:cs="Arial"/>
                <w:sz w:val="20"/>
                <w:szCs w:val="20"/>
              </w:rPr>
            </w:pPr>
          </w:p>
        </w:tc>
      </w:tr>
      <w:tr w:rsidR="00143E72" w:rsidRPr="00577DF5" w:rsidTr="00DF030A">
        <w:trPr>
          <w:trHeight w:val="340"/>
          <w:jc w:val="center"/>
        </w:trPr>
        <w:tc>
          <w:tcPr>
            <w:tcW w:w="4819" w:type="dxa"/>
            <w:vAlign w:val="center"/>
          </w:tcPr>
          <w:p w:rsidR="00143E72" w:rsidRPr="00577DF5" w:rsidRDefault="00143E72" w:rsidP="00DF030A">
            <w:pPr>
              <w:numPr>
                <w:ilvl w:val="0"/>
                <w:numId w:val="3"/>
              </w:numPr>
              <w:tabs>
                <w:tab w:val="clear" w:pos="360"/>
              </w:tabs>
              <w:spacing w:before="60" w:after="60"/>
              <w:ind w:left="252" w:hanging="252"/>
              <w:rPr>
                <w:rFonts w:cs="Arial"/>
                <w:b/>
                <w:sz w:val="20"/>
                <w:szCs w:val="20"/>
              </w:rPr>
            </w:pPr>
            <w:r w:rsidRPr="00577DF5">
              <w:rPr>
                <w:rFonts w:cs="Arial"/>
                <w:b/>
                <w:sz w:val="20"/>
                <w:szCs w:val="20"/>
              </w:rPr>
              <w:t>Mapping</w:t>
            </w:r>
          </w:p>
          <w:p w:rsidR="00143E72" w:rsidRPr="00577DF5" w:rsidRDefault="00143E72" w:rsidP="00DF030A">
            <w:pPr>
              <w:spacing w:before="60" w:after="60"/>
              <w:ind w:left="252"/>
              <w:rPr>
                <w:rFonts w:cs="Arial"/>
                <w:sz w:val="20"/>
                <w:szCs w:val="20"/>
              </w:rPr>
            </w:pPr>
            <w:r w:rsidRPr="00577DF5">
              <w:rPr>
                <w:rFonts w:cs="Arial"/>
                <w:sz w:val="20"/>
                <w:szCs w:val="20"/>
              </w:rPr>
              <w:t>Does the proposal include sufficient (draft) mapping and other material such as aerial photographs to clearly identify the site, current and proposed zoning, etc to clearly explain the intent of the proposal?</w:t>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4252" w:type="dxa"/>
            <w:vAlign w:val="center"/>
          </w:tcPr>
          <w:p w:rsidR="00143E72" w:rsidRPr="00577DF5" w:rsidRDefault="00143E72" w:rsidP="0052789D">
            <w:pPr>
              <w:rPr>
                <w:rFonts w:cs="Arial"/>
                <w:sz w:val="20"/>
                <w:szCs w:val="20"/>
              </w:rPr>
            </w:pPr>
            <w:r>
              <w:rPr>
                <w:rFonts w:cs="Arial"/>
                <w:sz w:val="20"/>
                <w:szCs w:val="20"/>
              </w:rPr>
              <w:t xml:space="preserve">FSR Maps are not included. The proposal includes an FSR of 1:5:1, however </w:t>
            </w:r>
            <w:r w:rsidR="0052789D">
              <w:rPr>
                <w:rFonts w:cs="Arial"/>
                <w:sz w:val="20"/>
                <w:szCs w:val="20"/>
              </w:rPr>
              <w:t>the Department recommends</w:t>
            </w:r>
            <w:r>
              <w:rPr>
                <w:rFonts w:cs="Arial"/>
                <w:sz w:val="20"/>
                <w:szCs w:val="20"/>
              </w:rPr>
              <w:t xml:space="preserve"> removing FSR controls </w:t>
            </w:r>
            <w:r w:rsidR="00B35DF5">
              <w:rPr>
                <w:rFonts w:cs="Arial"/>
                <w:sz w:val="20"/>
                <w:szCs w:val="20"/>
              </w:rPr>
              <w:t>to align</w:t>
            </w:r>
            <w:r w:rsidR="0052789D">
              <w:rPr>
                <w:rFonts w:cs="Arial"/>
                <w:sz w:val="20"/>
                <w:szCs w:val="20"/>
              </w:rPr>
              <w:t xml:space="preserve"> with the existing Fairfield Heights B2 Local Centre.</w:t>
            </w:r>
          </w:p>
        </w:tc>
      </w:tr>
      <w:tr w:rsidR="00143E72" w:rsidRPr="00577DF5" w:rsidTr="00DF030A">
        <w:trPr>
          <w:trHeight w:val="340"/>
          <w:jc w:val="center"/>
        </w:trPr>
        <w:tc>
          <w:tcPr>
            <w:tcW w:w="4819" w:type="dxa"/>
            <w:vAlign w:val="center"/>
          </w:tcPr>
          <w:p w:rsidR="00143E72" w:rsidRPr="00577DF5" w:rsidRDefault="00143E72" w:rsidP="00DF030A">
            <w:pPr>
              <w:numPr>
                <w:ilvl w:val="0"/>
                <w:numId w:val="3"/>
              </w:numPr>
              <w:tabs>
                <w:tab w:val="clear" w:pos="360"/>
              </w:tabs>
              <w:spacing w:before="60" w:after="60"/>
              <w:ind w:left="252" w:hanging="252"/>
              <w:rPr>
                <w:rFonts w:cs="Arial"/>
                <w:b/>
                <w:sz w:val="20"/>
                <w:szCs w:val="20"/>
              </w:rPr>
            </w:pPr>
            <w:r w:rsidRPr="00577DF5">
              <w:rPr>
                <w:rFonts w:cs="Arial"/>
                <w:b/>
                <w:sz w:val="20"/>
                <w:szCs w:val="20"/>
              </w:rPr>
              <w:t>Community consultation (including agencies to be consulted)</w:t>
            </w:r>
          </w:p>
          <w:p w:rsidR="00143E72" w:rsidRPr="00577DF5" w:rsidRDefault="00143E72" w:rsidP="00DF030A">
            <w:pPr>
              <w:spacing w:before="60" w:after="60"/>
              <w:ind w:left="252"/>
              <w:rPr>
                <w:rFonts w:cs="Arial"/>
                <w:sz w:val="20"/>
                <w:szCs w:val="20"/>
              </w:rPr>
            </w:pPr>
            <w:r w:rsidRPr="00577DF5">
              <w:rPr>
                <w:rFonts w:cs="Arial"/>
                <w:sz w:val="20"/>
                <w:szCs w:val="20"/>
              </w:rPr>
              <w:t xml:space="preserve">Does the proposal contain details relating to any agencies that will need to be consulted to progress the proposal?  Does it include details about any consultation that has already occurred with agencies/stakeholders? Does the proponent </w:t>
            </w:r>
            <w:r>
              <w:rPr>
                <w:rFonts w:cs="Arial"/>
                <w:sz w:val="20"/>
                <w:szCs w:val="20"/>
              </w:rPr>
              <w:t>discuss any potential</w:t>
            </w:r>
            <w:r w:rsidRPr="00577DF5">
              <w:rPr>
                <w:rFonts w:cs="Arial"/>
                <w:sz w:val="20"/>
                <w:szCs w:val="20"/>
              </w:rPr>
              <w:t xml:space="preserve"> future community consultation? </w:t>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4252" w:type="dxa"/>
            <w:vAlign w:val="center"/>
          </w:tcPr>
          <w:p w:rsidR="00143E72" w:rsidRPr="002D4EBA" w:rsidRDefault="00143E72" w:rsidP="00DF030A">
            <w:pPr>
              <w:autoSpaceDE w:val="0"/>
              <w:autoSpaceDN w:val="0"/>
              <w:adjustRightInd w:val="0"/>
              <w:rPr>
                <w:rFonts w:cs="Arial"/>
                <w:sz w:val="20"/>
                <w:szCs w:val="20"/>
              </w:rPr>
            </w:pPr>
            <w:r w:rsidRPr="002D4EBA">
              <w:rPr>
                <w:rFonts w:cs="Arial"/>
                <w:sz w:val="20"/>
                <w:szCs w:val="20"/>
              </w:rPr>
              <w:t xml:space="preserve">The </w:t>
            </w:r>
            <w:r>
              <w:rPr>
                <w:rFonts w:cs="Arial"/>
                <w:sz w:val="20"/>
                <w:szCs w:val="20"/>
              </w:rPr>
              <w:t xml:space="preserve">Pre-Gateway Review Application </w:t>
            </w:r>
            <w:r w:rsidRPr="002D4EBA">
              <w:rPr>
                <w:rFonts w:cs="Arial"/>
                <w:sz w:val="20"/>
                <w:szCs w:val="20"/>
              </w:rPr>
              <w:t xml:space="preserve">does </w:t>
            </w:r>
            <w:r>
              <w:rPr>
                <w:rFonts w:cs="Arial"/>
                <w:sz w:val="20"/>
                <w:szCs w:val="20"/>
              </w:rPr>
              <w:t xml:space="preserve">not outline any specific details </w:t>
            </w:r>
            <w:r w:rsidRPr="002D4EBA">
              <w:rPr>
                <w:rFonts w:cs="Arial"/>
                <w:sz w:val="20"/>
                <w:szCs w:val="20"/>
              </w:rPr>
              <w:t xml:space="preserve">relating to consultation. Council’s Outcomes Committee report of 14 May 2013 states that </w:t>
            </w:r>
          </w:p>
          <w:p w:rsidR="00554E20" w:rsidRPr="002D4EBA" w:rsidRDefault="00143E72" w:rsidP="00554E20">
            <w:pPr>
              <w:autoSpaceDE w:val="0"/>
              <w:autoSpaceDN w:val="0"/>
              <w:adjustRightInd w:val="0"/>
              <w:rPr>
                <w:rFonts w:cs="Arial"/>
                <w:sz w:val="20"/>
                <w:szCs w:val="20"/>
              </w:rPr>
            </w:pPr>
            <w:r w:rsidRPr="002D4EBA">
              <w:rPr>
                <w:rFonts w:cs="Arial"/>
                <w:sz w:val="20"/>
                <w:szCs w:val="20"/>
              </w:rPr>
              <w:t>Council officers consider that this proposal represents a significant change</w:t>
            </w:r>
            <w:r>
              <w:rPr>
                <w:rFonts w:cs="Arial"/>
                <w:sz w:val="20"/>
                <w:szCs w:val="20"/>
              </w:rPr>
              <w:t>,</w:t>
            </w:r>
            <w:r w:rsidRPr="002D4EBA">
              <w:rPr>
                <w:rFonts w:cs="Arial"/>
                <w:sz w:val="20"/>
                <w:szCs w:val="20"/>
              </w:rPr>
              <w:t xml:space="preserve"> particularly to the residents located on the existing medium density development to the east of the</w:t>
            </w:r>
            <w:r>
              <w:rPr>
                <w:rFonts w:cs="Arial"/>
                <w:sz w:val="20"/>
                <w:szCs w:val="20"/>
              </w:rPr>
              <w:t xml:space="preserve"> </w:t>
            </w:r>
            <w:r w:rsidR="00554E20">
              <w:rPr>
                <w:rFonts w:cs="Arial"/>
                <w:sz w:val="20"/>
                <w:szCs w:val="20"/>
              </w:rPr>
              <w:t>subject site.</w:t>
            </w:r>
          </w:p>
          <w:p w:rsidR="00143E72" w:rsidRPr="002D4EBA" w:rsidRDefault="00143E72" w:rsidP="00B35DF5">
            <w:pPr>
              <w:autoSpaceDE w:val="0"/>
              <w:autoSpaceDN w:val="0"/>
              <w:adjustRightInd w:val="0"/>
              <w:ind w:left="360"/>
              <w:rPr>
                <w:rFonts w:cs="Arial"/>
                <w:sz w:val="20"/>
                <w:szCs w:val="20"/>
              </w:rPr>
            </w:pPr>
          </w:p>
        </w:tc>
      </w:tr>
    </w:tbl>
    <w:p w:rsidR="00143E72" w:rsidRPr="00C52FA2" w:rsidRDefault="00143E72" w:rsidP="003E1780">
      <w:pPr>
        <w:spacing w:before="120"/>
        <w:rPr>
          <w:rFonts w:cs="Arial"/>
          <w:b/>
          <w:sz w:val="22"/>
          <w:szCs w:val="22"/>
        </w:rPr>
      </w:pPr>
      <w:r w:rsidRPr="00C52FA2">
        <w:rPr>
          <w:rFonts w:cs="Arial"/>
          <w:b/>
          <w:sz w:val="22"/>
          <w:szCs w:val="22"/>
        </w:rPr>
        <w:t>Summary:</w:t>
      </w:r>
    </w:p>
    <w:tbl>
      <w:tblPr>
        <w:tblW w:w="10490" w:type="dxa"/>
        <w:jc w:val="center"/>
        <w:tblLook w:val="01E0" w:firstRow="1" w:lastRow="1" w:firstColumn="1" w:lastColumn="1" w:noHBand="0" w:noVBand="0"/>
      </w:tblPr>
      <w:tblGrid>
        <w:gridCol w:w="8504"/>
        <w:gridCol w:w="992"/>
        <w:gridCol w:w="994"/>
      </w:tblGrid>
      <w:tr w:rsidR="00143E72" w:rsidRPr="00577DF5" w:rsidTr="00DF030A">
        <w:trPr>
          <w:jc w:val="center"/>
        </w:trPr>
        <w:tc>
          <w:tcPr>
            <w:tcW w:w="8504" w:type="dxa"/>
            <w:vAlign w:val="center"/>
          </w:tcPr>
          <w:p w:rsidR="00143E72" w:rsidRPr="00577DF5" w:rsidRDefault="00143E72" w:rsidP="00DF030A">
            <w:pPr>
              <w:spacing w:before="60" w:after="60"/>
              <w:rPr>
                <w:rFonts w:cs="Arial"/>
                <w:sz w:val="20"/>
                <w:szCs w:val="20"/>
              </w:rPr>
            </w:pPr>
            <w:r w:rsidRPr="00577DF5">
              <w:rPr>
                <w:rFonts w:cs="Arial"/>
                <w:sz w:val="20"/>
                <w:szCs w:val="20"/>
              </w:rPr>
              <w:t>Is there sufficient (preliminary) information provided</w:t>
            </w:r>
            <w:r>
              <w:rPr>
                <w:rFonts w:cs="Arial"/>
                <w:sz w:val="20"/>
                <w:szCs w:val="20"/>
              </w:rPr>
              <w:t xml:space="preserve"> to address relevant key issues associated with the proposal?</w:t>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Yes </w:t>
            </w:r>
            <w:r w:rsidR="00BE5C1D">
              <w:rPr>
                <w:rFonts w:cs="Arial"/>
                <w:sz w:val="20"/>
                <w:szCs w:val="20"/>
              </w:rPr>
              <w:fldChar w:fldCharType="begin">
                <w:ffData>
                  <w:name w:val=""/>
                  <w:enabled/>
                  <w:calcOnExit w:val="0"/>
                  <w:checkBox>
                    <w:size w:val="20"/>
                    <w:default w:val="1"/>
                  </w:checkBox>
                </w:ffData>
              </w:fldChar>
            </w:r>
            <w:r>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Pr>
                <w:rFonts w:cs="Arial"/>
                <w:sz w:val="20"/>
                <w:szCs w:val="20"/>
              </w:rPr>
              <w:fldChar w:fldCharType="end"/>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No </w:t>
            </w:r>
            <w:r w:rsidR="00BE5C1D" w:rsidRPr="00577DF5">
              <w:rPr>
                <w:rFonts w:cs="Arial"/>
                <w:sz w:val="20"/>
                <w:szCs w:val="20"/>
              </w:rPr>
              <w:fldChar w:fldCharType="begin">
                <w:ffData>
                  <w:name w:val=""/>
                  <w:enabled/>
                  <w:calcOnExit w:val="0"/>
                  <w:checkBox>
                    <w:size w:val="20"/>
                    <w:default w:val="0"/>
                  </w:checkBox>
                </w:ffData>
              </w:fldChar>
            </w:r>
            <w:r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sidRPr="00577DF5">
              <w:rPr>
                <w:rFonts w:cs="Arial"/>
                <w:sz w:val="20"/>
                <w:szCs w:val="20"/>
              </w:rPr>
              <w:fldChar w:fldCharType="end"/>
            </w:r>
          </w:p>
        </w:tc>
      </w:tr>
      <w:tr w:rsidR="00143E72" w:rsidRPr="008942A0" w:rsidTr="00DF030A">
        <w:trPr>
          <w:jc w:val="center"/>
        </w:trPr>
        <w:tc>
          <w:tcPr>
            <w:tcW w:w="10490" w:type="dxa"/>
            <w:gridSpan w:val="3"/>
            <w:vAlign w:val="center"/>
          </w:tcPr>
          <w:p w:rsidR="00143E72" w:rsidRPr="008942A0" w:rsidRDefault="00143E72" w:rsidP="00DF030A">
            <w:pPr>
              <w:rPr>
                <w:rFonts w:cs="Arial"/>
                <w:b/>
                <w:sz w:val="20"/>
                <w:szCs w:val="20"/>
              </w:rPr>
            </w:pPr>
            <w:r w:rsidRPr="008942A0">
              <w:rPr>
                <w:rFonts w:cs="Arial"/>
                <w:b/>
                <w:sz w:val="20"/>
                <w:szCs w:val="20"/>
              </w:rPr>
              <w:t>Additional Comments:</w:t>
            </w:r>
            <w:r w:rsidRPr="008942A0">
              <w:rPr>
                <w:rFonts w:cs="Arial"/>
                <w:i/>
                <w:sz w:val="20"/>
                <w:szCs w:val="20"/>
              </w:rPr>
              <w:t xml:space="preserve"> </w:t>
            </w:r>
          </w:p>
          <w:p w:rsidR="00143E72" w:rsidRPr="00000981" w:rsidRDefault="00143E72" w:rsidP="00000981">
            <w:pPr>
              <w:numPr>
                <w:ilvl w:val="0"/>
                <w:numId w:val="11"/>
              </w:numPr>
              <w:rPr>
                <w:rFonts w:cs="Arial"/>
                <w:sz w:val="20"/>
                <w:szCs w:val="20"/>
              </w:rPr>
            </w:pPr>
            <w:r w:rsidRPr="00115948">
              <w:rPr>
                <w:rFonts w:cs="Arial"/>
                <w:sz w:val="20"/>
                <w:szCs w:val="20"/>
              </w:rPr>
              <w:t>The proponent’s Pre-Gateway Review Application was prepared in July 2013. No agencies have been consulted at this stage.</w:t>
            </w:r>
          </w:p>
        </w:tc>
      </w:tr>
    </w:tbl>
    <w:p w:rsidR="00143E72" w:rsidRDefault="00143E72" w:rsidP="003E1780">
      <w:pPr>
        <w:rPr>
          <w:rFonts w:cs="Arial"/>
          <w:b/>
          <w:sz w:val="10"/>
          <w:szCs w:val="10"/>
          <w:u w:val="single"/>
        </w:rPr>
      </w:pPr>
    </w:p>
    <w:p w:rsidR="00143E72" w:rsidRDefault="00143E72" w:rsidP="003E1780">
      <w:pPr>
        <w:rPr>
          <w:rFonts w:cs="Arial"/>
          <w:b/>
          <w:sz w:val="10"/>
          <w:szCs w:val="10"/>
          <w:u w:val="single"/>
        </w:rPr>
      </w:pPr>
    </w:p>
    <w:p w:rsidR="00143E72" w:rsidRPr="00DB5CF8" w:rsidRDefault="00143E72" w:rsidP="003E1780">
      <w:pPr>
        <w:shd w:val="clear" w:color="auto" w:fill="808080"/>
        <w:spacing w:before="120" w:after="120"/>
        <w:rPr>
          <w:rFonts w:cs="Arial"/>
          <w:color w:val="FFFFFF"/>
          <w:sz w:val="26"/>
          <w:szCs w:val="26"/>
        </w:rPr>
      </w:pPr>
      <w:r>
        <w:rPr>
          <w:rFonts w:cs="Arial"/>
          <w:b/>
          <w:color w:val="FFFFFF"/>
          <w:sz w:val="26"/>
          <w:szCs w:val="26"/>
        </w:rPr>
        <w:t>Views of council</w:t>
      </w:r>
      <w:r w:rsidRPr="00332E3F">
        <w:rPr>
          <w:rFonts w:cs="Arial"/>
          <w:b/>
          <w:color w:val="FF0000"/>
          <w:sz w:val="26"/>
          <w:szCs w:val="26"/>
        </w:rPr>
        <w:t xml:space="preserve"> </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5"/>
        <w:gridCol w:w="7654"/>
      </w:tblGrid>
      <w:tr w:rsidR="00143E72" w:rsidRPr="0074365F" w:rsidTr="00DF030A">
        <w:trPr>
          <w:jc w:val="center"/>
        </w:trPr>
        <w:tc>
          <w:tcPr>
            <w:tcW w:w="2835" w:type="dxa"/>
            <w:tcMar>
              <w:top w:w="0" w:type="dxa"/>
              <w:left w:w="108" w:type="dxa"/>
              <w:bottom w:w="0" w:type="dxa"/>
              <w:right w:w="108" w:type="dxa"/>
            </w:tcMar>
          </w:tcPr>
          <w:p w:rsidR="00143E72" w:rsidRPr="0074365F" w:rsidRDefault="00143E72" w:rsidP="00DF030A">
            <w:pPr>
              <w:keepNext/>
              <w:spacing w:before="60" w:after="60"/>
              <w:rPr>
                <w:rFonts w:cs="Arial"/>
                <w:b/>
                <w:bCs/>
                <w:sz w:val="20"/>
                <w:szCs w:val="20"/>
              </w:rPr>
            </w:pPr>
            <w:r w:rsidRPr="0074365F">
              <w:rPr>
                <w:rFonts w:cs="Arial"/>
                <w:b/>
                <w:bCs/>
                <w:sz w:val="20"/>
                <w:szCs w:val="20"/>
              </w:rPr>
              <w:t>Date council</w:t>
            </w:r>
            <w:r>
              <w:rPr>
                <w:rFonts w:cs="Arial"/>
                <w:b/>
                <w:bCs/>
                <w:sz w:val="20"/>
                <w:szCs w:val="20"/>
              </w:rPr>
              <w:t xml:space="preserve"> / agency</w:t>
            </w:r>
            <w:r w:rsidRPr="0074365F">
              <w:rPr>
                <w:rFonts w:cs="Arial"/>
                <w:b/>
                <w:bCs/>
                <w:sz w:val="20"/>
                <w:szCs w:val="20"/>
              </w:rPr>
              <w:t xml:space="preserve"> advised</w:t>
            </w:r>
            <w:r>
              <w:rPr>
                <w:rFonts w:cs="Arial"/>
                <w:b/>
                <w:bCs/>
                <w:sz w:val="20"/>
                <w:szCs w:val="20"/>
              </w:rPr>
              <w:t xml:space="preserve"> of request</w:t>
            </w:r>
            <w:r w:rsidRPr="0074365F">
              <w:rPr>
                <w:rFonts w:cs="Arial"/>
                <w:b/>
                <w:bCs/>
                <w:sz w:val="20"/>
                <w:szCs w:val="20"/>
              </w:rPr>
              <w:t>:</w:t>
            </w:r>
          </w:p>
        </w:tc>
        <w:tc>
          <w:tcPr>
            <w:tcW w:w="7654" w:type="dxa"/>
            <w:tcMar>
              <w:top w:w="0" w:type="dxa"/>
              <w:left w:w="108" w:type="dxa"/>
              <w:bottom w:w="0" w:type="dxa"/>
              <w:right w:w="108" w:type="dxa"/>
            </w:tcMar>
            <w:vAlign w:val="center"/>
          </w:tcPr>
          <w:p w:rsidR="00143E72" w:rsidRPr="0074365F" w:rsidRDefault="00143E72" w:rsidP="00DF030A">
            <w:pPr>
              <w:keepNext/>
              <w:spacing w:before="60" w:after="60"/>
              <w:rPr>
                <w:rFonts w:cs="Arial"/>
                <w:b/>
                <w:bCs/>
                <w:sz w:val="20"/>
                <w:szCs w:val="20"/>
              </w:rPr>
            </w:pPr>
            <w:r>
              <w:rPr>
                <w:rFonts w:cs="Arial"/>
                <w:b/>
                <w:bCs/>
                <w:sz w:val="20"/>
                <w:szCs w:val="20"/>
              </w:rPr>
              <w:t>26.08.13</w:t>
            </w:r>
          </w:p>
        </w:tc>
      </w:tr>
      <w:tr w:rsidR="00143E72" w:rsidRPr="0074365F" w:rsidTr="00DF030A">
        <w:trPr>
          <w:jc w:val="center"/>
        </w:trPr>
        <w:tc>
          <w:tcPr>
            <w:tcW w:w="2835" w:type="dxa"/>
            <w:tcMar>
              <w:top w:w="0" w:type="dxa"/>
              <w:left w:w="108" w:type="dxa"/>
              <w:bottom w:w="0" w:type="dxa"/>
              <w:right w:w="108" w:type="dxa"/>
            </w:tcMar>
          </w:tcPr>
          <w:p w:rsidR="00143E72" w:rsidRPr="0074365F" w:rsidRDefault="00143E72" w:rsidP="00DF030A">
            <w:pPr>
              <w:spacing w:before="60" w:after="60"/>
              <w:rPr>
                <w:rFonts w:cs="Arial"/>
                <w:b/>
                <w:bCs/>
                <w:sz w:val="20"/>
                <w:szCs w:val="20"/>
              </w:rPr>
            </w:pPr>
            <w:r w:rsidRPr="0074365F">
              <w:rPr>
                <w:rFonts w:cs="Arial"/>
                <w:b/>
                <w:bCs/>
                <w:sz w:val="20"/>
                <w:szCs w:val="20"/>
              </w:rPr>
              <w:t>Date of council</w:t>
            </w:r>
            <w:r>
              <w:rPr>
                <w:rFonts w:cs="Arial"/>
                <w:b/>
                <w:bCs/>
                <w:sz w:val="20"/>
                <w:szCs w:val="20"/>
              </w:rPr>
              <w:t xml:space="preserve"> / agency</w:t>
            </w:r>
            <w:r w:rsidRPr="0074365F">
              <w:rPr>
                <w:rFonts w:cs="Arial"/>
                <w:b/>
                <w:bCs/>
                <w:sz w:val="20"/>
                <w:szCs w:val="20"/>
              </w:rPr>
              <w:t xml:space="preserve"> response:</w:t>
            </w:r>
          </w:p>
        </w:tc>
        <w:tc>
          <w:tcPr>
            <w:tcW w:w="7654" w:type="dxa"/>
            <w:tcMar>
              <w:top w:w="0" w:type="dxa"/>
              <w:left w:w="108" w:type="dxa"/>
              <w:bottom w:w="0" w:type="dxa"/>
              <w:right w:w="108" w:type="dxa"/>
            </w:tcMar>
            <w:vAlign w:val="center"/>
          </w:tcPr>
          <w:p w:rsidR="00143E72" w:rsidRPr="00555BB3" w:rsidRDefault="00143E72" w:rsidP="00DF030A">
            <w:pPr>
              <w:spacing w:before="60" w:after="60"/>
              <w:rPr>
                <w:rFonts w:cs="Arial"/>
                <w:b/>
                <w:sz w:val="20"/>
                <w:szCs w:val="20"/>
              </w:rPr>
            </w:pPr>
            <w:r>
              <w:rPr>
                <w:rFonts w:cs="Arial"/>
                <w:b/>
                <w:sz w:val="20"/>
                <w:szCs w:val="20"/>
              </w:rPr>
              <w:t>26.09.13</w:t>
            </w:r>
          </w:p>
        </w:tc>
      </w:tr>
      <w:tr w:rsidR="00143E72" w:rsidRPr="0074365F" w:rsidTr="00DF030A">
        <w:trPr>
          <w:jc w:val="center"/>
        </w:trPr>
        <w:tc>
          <w:tcPr>
            <w:tcW w:w="2835" w:type="dxa"/>
            <w:tcMar>
              <w:top w:w="0" w:type="dxa"/>
              <w:left w:w="108" w:type="dxa"/>
              <w:bottom w:w="0" w:type="dxa"/>
              <w:right w:w="108" w:type="dxa"/>
            </w:tcMar>
          </w:tcPr>
          <w:p w:rsidR="00143E72" w:rsidRPr="0074365F" w:rsidRDefault="00143E72" w:rsidP="00DF030A">
            <w:pPr>
              <w:spacing w:before="60" w:after="60"/>
              <w:rPr>
                <w:rFonts w:cs="Arial"/>
                <w:b/>
                <w:bCs/>
                <w:sz w:val="20"/>
                <w:szCs w:val="20"/>
              </w:rPr>
            </w:pPr>
            <w:r w:rsidRPr="0074365F">
              <w:rPr>
                <w:rFonts w:cs="Arial"/>
                <w:b/>
                <w:bCs/>
                <w:sz w:val="20"/>
                <w:szCs w:val="20"/>
              </w:rPr>
              <w:t>Council</w:t>
            </w:r>
            <w:r>
              <w:rPr>
                <w:rFonts w:cs="Arial"/>
                <w:b/>
                <w:bCs/>
                <w:sz w:val="20"/>
                <w:szCs w:val="20"/>
              </w:rPr>
              <w:t xml:space="preserve"> / agency</w:t>
            </w:r>
            <w:r w:rsidRPr="0074365F">
              <w:rPr>
                <w:rFonts w:cs="Arial"/>
                <w:b/>
                <w:bCs/>
                <w:sz w:val="20"/>
                <w:szCs w:val="20"/>
              </w:rPr>
              <w:t xml:space="preserve"> response:</w:t>
            </w:r>
          </w:p>
          <w:p w:rsidR="00143E72" w:rsidRPr="0074365F" w:rsidRDefault="00143E72" w:rsidP="00DF030A">
            <w:pPr>
              <w:spacing w:before="60" w:after="60"/>
              <w:rPr>
                <w:rFonts w:cs="Arial"/>
                <w:bCs/>
                <w:sz w:val="20"/>
                <w:szCs w:val="20"/>
              </w:rPr>
            </w:pPr>
            <w:r w:rsidRPr="0074365F">
              <w:rPr>
                <w:rFonts w:cs="Arial"/>
                <w:bCs/>
                <w:sz w:val="20"/>
                <w:szCs w:val="20"/>
              </w:rPr>
              <w:t xml:space="preserve">List issues </w:t>
            </w:r>
            <w:r>
              <w:rPr>
                <w:rFonts w:cs="Arial"/>
                <w:bCs/>
                <w:sz w:val="20"/>
                <w:szCs w:val="20"/>
              </w:rPr>
              <w:t xml:space="preserve">/ </w:t>
            </w:r>
            <w:r w:rsidRPr="0074365F">
              <w:rPr>
                <w:rFonts w:cs="Arial"/>
                <w:bCs/>
                <w:sz w:val="20"/>
                <w:szCs w:val="20"/>
              </w:rPr>
              <w:t>points provided in response</w:t>
            </w:r>
          </w:p>
        </w:tc>
        <w:tc>
          <w:tcPr>
            <w:tcW w:w="7654" w:type="dxa"/>
            <w:tcMar>
              <w:top w:w="0" w:type="dxa"/>
              <w:left w:w="108" w:type="dxa"/>
              <w:bottom w:w="0" w:type="dxa"/>
              <w:right w:w="108" w:type="dxa"/>
            </w:tcMar>
            <w:vAlign w:val="center"/>
          </w:tcPr>
          <w:p w:rsidR="00143E72" w:rsidRPr="00A16FE5" w:rsidRDefault="00143E72" w:rsidP="00DF030A">
            <w:pPr>
              <w:autoSpaceDE w:val="0"/>
              <w:autoSpaceDN w:val="0"/>
              <w:adjustRightInd w:val="0"/>
              <w:rPr>
                <w:rFonts w:cs="Arial"/>
                <w:sz w:val="20"/>
                <w:szCs w:val="20"/>
              </w:rPr>
            </w:pPr>
            <w:r>
              <w:rPr>
                <w:rFonts w:cs="Arial"/>
                <w:sz w:val="20"/>
                <w:szCs w:val="20"/>
              </w:rPr>
              <w:t>Fairfield City Council</w:t>
            </w:r>
            <w:r w:rsidRPr="00A16FE5">
              <w:rPr>
                <w:rFonts w:cs="Arial"/>
                <w:sz w:val="20"/>
                <w:szCs w:val="20"/>
              </w:rPr>
              <w:t xml:space="preserve"> resolved not to support the proposal based on the following criteria:</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Undesirable Precedent</w:t>
            </w: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A number of additional sites in the area could also support higher residential and/or business development. Rezoning 131 Polding Street, in the absence of any current strategic land use and development framework, could potentially set an undesirable precedent for these sites to </w:t>
            </w:r>
            <w:r w:rsidRPr="00A16FE5">
              <w:rPr>
                <w:rFonts w:cs="Arial"/>
                <w:sz w:val="20"/>
                <w:szCs w:val="20"/>
              </w:rPr>
              <w:lastRenderedPageBreak/>
              <w:t>seek redevelopment in an ad-hoc, piecemeal manner.</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Lack of Strategic Plan and DCP</w:t>
            </w:r>
          </w:p>
          <w:p w:rsidR="00143E72" w:rsidRPr="00A16FE5" w:rsidRDefault="00143E72" w:rsidP="00DF030A">
            <w:pPr>
              <w:autoSpaceDE w:val="0"/>
              <w:autoSpaceDN w:val="0"/>
              <w:adjustRightInd w:val="0"/>
              <w:rPr>
                <w:rFonts w:cs="Arial"/>
                <w:sz w:val="20"/>
                <w:szCs w:val="20"/>
              </w:rPr>
            </w:pPr>
            <w:r w:rsidRPr="00A16FE5">
              <w:rPr>
                <w:rFonts w:cs="Arial"/>
                <w:sz w:val="20"/>
                <w:szCs w:val="20"/>
              </w:rPr>
              <w:t>The Fairfield Heights Town Centre DCP has had no significant review since 1995. A comprehensive strategic review should be completed to encompass the entire Town Centre and adjoining residential lands.</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In addition, Fairfield LEP 2013 mandates neighbourhood shops in a number of residential and industrial zones. At this stage there is uncertainty regarding the degree of impact neighbourhood shops will have on the demand for additional zoned commercial lands in the locality.</w:t>
            </w:r>
          </w:p>
          <w:p w:rsidR="00143E72" w:rsidRPr="00A16FE5" w:rsidRDefault="00143E72" w:rsidP="00DF030A">
            <w:pPr>
              <w:autoSpaceDE w:val="0"/>
              <w:autoSpaceDN w:val="0"/>
              <w:adjustRightInd w:val="0"/>
              <w:rPr>
                <w:rFonts w:cs="Arial"/>
                <w:sz w:val="20"/>
                <w:szCs w:val="20"/>
              </w:rPr>
            </w:pPr>
          </w:p>
          <w:p w:rsidR="007C3D60" w:rsidRDefault="007C3D60" w:rsidP="007C3D60">
            <w:pPr>
              <w:rPr>
                <w:rFonts w:cs="Arial"/>
                <w:sz w:val="20"/>
                <w:szCs w:val="20"/>
              </w:rPr>
            </w:pPr>
            <w:r>
              <w:rPr>
                <w:rFonts w:cs="Arial"/>
                <w:sz w:val="20"/>
                <w:szCs w:val="20"/>
              </w:rPr>
              <w:t xml:space="preserve">The most recent comprehensive, Council-commissioned study of commercial land in Fairfield Heights is the 2005 </w:t>
            </w:r>
            <w:r w:rsidRPr="008C0061">
              <w:rPr>
                <w:rFonts w:cs="Arial"/>
                <w:sz w:val="20"/>
                <w:szCs w:val="20"/>
              </w:rPr>
              <w:t xml:space="preserve">Fairfield City Retail and Commercial Centres </w:t>
            </w:r>
            <w:r>
              <w:rPr>
                <w:rFonts w:cs="Arial"/>
                <w:sz w:val="20"/>
                <w:szCs w:val="20"/>
              </w:rPr>
              <w:t>Study. The study did not specifically review Fairfield Heights Local Centre, other than recommending its classification as a Neighbourhood Centre. In October 2013 the Department’s Planning Reform Fund granted $100,000 to Council for preparation of a Retail and Commercial Centres Study. The study will provide a framework for broader consideration of future proposals for the expansion of commercially zoned land.</w:t>
            </w:r>
          </w:p>
          <w:p w:rsidR="00AB0E99" w:rsidRPr="00A16FE5" w:rsidRDefault="00AB0E99"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Due to the lack of a comprehensive review of built form and urban design issues for the Fairfield Heights Town Centre, the potential and desired nature for infill development and urban renewal are yet to be fully analysed and understood.</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Traffic</w:t>
            </w:r>
          </w:p>
          <w:p w:rsidR="00143E72" w:rsidRPr="00A16FE5" w:rsidRDefault="00143E72" w:rsidP="00DF030A">
            <w:pPr>
              <w:autoSpaceDE w:val="0"/>
              <w:autoSpaceDN w:val="0"/>
              <w:adjustRightInd w:val="0"/>
              <w:rPr>
                <w:rFonts w:cs="Arial"/>
                <w:sz w:val="20"/>
                <w:szCs w:val="20"/>
              </w:rPr>
            </w:pPr>
            <w:r w:rsidRPr="00A16FE5">
              <w:rPr>
                <w:rFonts w:cs="Arial"/>
                <w:sz w:val="20"/>
                <w:szCs w:val="20"/>
              </w:rPr>
              <w:t>Any rezoning in or around the town centre should be accompanied by a comprehensive review of traffic management issues.</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b/>
                <w:sz w:val="20"/>
                <w:szCs w:val="20"/>
              </w:rPr>
              <w:t>Floor Space Ratio</w:t>
            </w:r>
            <w:r w:rsidRPr="00A16FE5">
              <w:rPr>
                <w:rFonts w:cs="Arial"/>
                <w:sz w:val="20"/>
                <w:szCs w:val="20"/>
              </w:rPr>
              <w:t xml:space="preserve"> (FSR)</w:t>
            </w:r>
          </w:p>
          <w:p w:rsidR="00143E72" w:rsidRPr="00A16FE5" w:rsidRDefault="00143E72" w:rsidP="00DF030A">
            <w:pPr>
              <w:autoSpaceDE w:val="0"/>
              <w:autoSpaceDN w:val="0"/>
              <w:adjustRightInd w:val="0"/>
              <w:rPr>
                <w:rFonts w:cs="Arial"/>
                <w:sz w:val="20"/>
                <w:szCs w:val="20"/>
              </w:rPr>
            </w:pPr>
            <w:r w:rsidRPr="00A16FE5">
              <w:rPr>
                <w:rFonts w:cs="Arial"/>
                <w:sz w:val="20"/>
                <w:szCs w:val="20"/>
              </w:rPr>
              <w:t>The site is currently restricted to an FSR of 0:45:1 under Fairfield LEP 2013, however the proponent has requested the FSR be amended to 1:5:1 to provide for a transition between the B2 Local Centre zone to the west and R3 residential medium density zone to the east. Council has requested that, should the proposal proceed to Gateway, the FSR restrictions be removed altogether as this would ensure consistency with the existing Fairfield Heights Town Centre and majority of other land zoned B2. Height restrictions of 9 metres would remain.</w:t>
            </w:r>
            <w:r w:rsidR="001D046F">
              <w:rPr>
                <w:rFonts w:cs="Arial"/>
                <w:sz w:val="20"/>
                <w:szCs w:val="20"/>
              </w:rPr>
              <w:t xml:space="preserve"> The Department supports Council’s request for the FSR restrictions to be removed.</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Administration</w:t>
            </w:r>
          </w:p>
          <w:p w:rsidR="00143E72" w:rsidRPr="00A16FE5" w:rsidRDefault="00143E72" w:rsidP="00DF030A">
            <w:pPr>
              <w:autoSpaceDE w:val="0"/>
              <w:autoSpaceDN w:val="0"/>
              <w:adjustRightInd w:val="0"/>
              <w:rPr>
                <w:rFonts w:cs="Arial"/>
                <w:sz w:val="20"/>
                <w:szCs w:val="20"/>
              </w:rPr>
            </w:pPr>
            <w:r w:rsidRPr="00A16FE5">
              <w:rPr>
                <w:rFonts w:cs="Arial"/>
                <w:sz w:val="20"/>
                <w:szCs w:val="20"/>
              </w:rPr>
              <w:t>In addition, Council seeks clarification in respect to the following processes:</w:t>
            </w:r>
          </w:p>
          <w:p w:rsidR="00143E72" w:rsidRPr="00A16FE5" w:rsidRDefault="00143E72" w:rsidP="00DF030A">
            <w:pPr>
              <w:autoSpaceDE w:val="0"/>
              <w:autoSpaceDN w:val="0"/>
              <w:adjustRightInd w:val="0"/>
              <w:rPr>
                <w:rFonts w:cs="Arial"/>
                <w:sz w:val="20"/>
                <w:szCs w:val="20"/>
              </w:rPr>
            </w:pPr>
          </w:p>
          <w:p w:rsidR="00143E72" w:rsidRPr="00A16FE5" w:rsidRDefault="00143E72" w:rsidP="003E1780">
            <w:pPr>
              <w:numPr>
                <w:ilvl w:val="0"/>
                <w:numId w:val="20"/>
              </w:numPr>
              <w:autoSpaceDE w:val="0"/>
              <w:autoSpaceDN w:val="0"/>
              <w:adjustRightInd w:val="0"/>
              <w:rPr>
                <w:rFonts w:cs="Arial"/>
                <w:sz w:val="20"/>
                <w:szCs w:val="20"/>
              </w:rPr>
            </w:pPr>
            <w:r w:rsidRPr="00A16FE5">
              <w:rPr>
                <w:rFonts w:cs="Arial"/>
                <w:sz w:val="20"/>
                <w:szCs w:val="20"/>
              </w:rPr>
              <w:t>Appointment of the relevant planning authority to consider the planning proposal, given Council’s objections to the proposal proceeding</w:t>
            </w:r>
          </w:p>
          <w:p w:rsidR="00143E72" w:rsidRPr="00A16FE5" w:rsidRDefault="00143E72" w:rsidP="003E1780">
            <w:pPr>
              <w:numPr>
                <w:ilvl w:val="0"/>
                <w:numId w:val="20"/>
              </w:numPr>
              <w:autoSpaceDE w:val="0"/>
              <w:autoSpaceDN w:val="0"/>
              <w:adjustRightInd w:val="0"/>
              <w:rPr>
                <w:rFonts w:cs="Arial"/>
                <w:sz w:val="20"/>
                <w:szCs w:val="20"/>
              </w:rPr>
            </w:pPr>
            <w:r w:rsidRPr="00A16FE5">
              <w:rPr>
                <w:rFonts w:cs="Arial"/>
                <w:sz w:val="20"/>
                <w:szCs w:val="20"/>
              </w:rPr>
              <w:t>Preparation of a planning proposal, including public exhibition, consideration of submissions and further reporting to the relevant planning authority</w:t>
            </w:r>
          </w:p>
          <w:p w:rsidR="00143E72" w:rsidRPr="00A16FE5" w:rsidRDefault="00143E72" w:rsidP="003E1780">
            <w:pPr>
              <w:numPr>
                <w:ilvl w:val="0"/>
                <w:numId w:val="20"/>
              </w:numPr>
              <w:autoSpaceDE w:val="0"/>
              <w:autoSpaceDN w:val="0"/>
              <w:adjustRightInd w:val="0"/>
              <w:rPr>
                <w:rFonts w:cs="Arial"/>
                <w:sz w:val="20"/>
                <w:szCs w:val="20"/>
              </w:rPr>
            </w:pPr>
            <w:r w:rsidRPr="00A16FE5">
              <w:rPr>
                <w:rFonts w:cs="Arial"/>
                <w:sz w:val="20"/>
                <w:szCs w:val="20"/>
              </w:rPr>
              <w:t>Preparation of site specific and City Wide DCP amendments that are required to regulate future development on the site.</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Background</w:t>
            </w:r>
          </w:p>
          <w:p w:rsidR="00143E72" w:rsidRPr="00A16FE5" w:rsidRDefault="00143E72" w:rsidP="00DF030A">
            <w:pPr>
              <w:autoSpaceDE w:val="0"/>
              <w:autoSpaceDN w:val="0"/>
              <w:adjustRightInd w:val="0"/>
              <w:rPr>
                <w:rFonts w:cs="Arial"/>
                <w:sz w:val="20"/>
                <w:szCs w:val="20"/>
              </w:rPr>
            </w:pPr>
            <w:r w:rsidRPr="00A16FE5">
              <w:rPr>
                <w:rFonts w:cs="Arial"/>
                <w:sz w:val="20"/>
                <w:szCs w:val="20"/>
              </w:rPr>
              <w:t>It should be noted that in September 2010 Council planners advised the proponent that the site was potentially suitable for high density residential development as it is consistent with the principles of the draft Fairfield Residential Development Strategy (FRDS), which seeks to provide additional density in and around existing centres.</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The proponent’s original request to Council to prepare a planning proposal was made on 12 October 2011. On 14 June 2013 Council wrote to the proponent, advising that they did not support the proposal.</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sidRPr="00A16FE5">
              <w:rPr>
                <w:rFonts w:cs="Arial"/>
                <w:sz w:val="20"/>
                <w:szCs w:val="20"/>
              </w:rPr>
              <w:t>During the period between the original lodging of the proposal in October 2011 and Council’s advice not to proceed in June 2013, resolution was delayed due to:</w:t>
            </w:r>
          </w:p>
          <w:p w:rsidR="00143E72" w:rsidRPr="00A16FE5" w:rsidRDefault="00143E72" w:rsidP="00DF030A">
            <w:pPr>
              <w:autoSpaceDE w:val="0"/>
              <w:autoSpaceDN w:val="0"/>
              <w:adjustRightInd w:val="0"/>
              <w:rPr>
                <w:rFonts w:cs="Arial"/>
                <w:sz w:val="20"/>
                <w:szCs w:val="20"/>
              </w:rPr>
            </w:pPr>
          </w:p>
          <w:p w:rsidR="00143E72" w:rsidRPr="00A16FE5" w:rsidRDefault="00143E72" w:rsidP="003E1780">
            <w:pPr>
              <w:numPr>
                <w:ilvl w:val="0"/>
                <w:numId w:val="13"/>
              </w:numPr>
              <w:autoSpaceDE w:val="0"/>
              <w:autoSpaceDN w:val="0"/>
              <w:adjustRightInd w:val="0"/>
              <w:rPr>
                <w:rFonts w:cs="Arial"/>
                <w:sz w:val="20"/>
                <w:szCs w:val="20"/>
              </w:rPr>
            </w:pPr>
            <w:r w:rsidRPr="00A16FE5">
              <w:rPr>
                <w:rFonts w:cs="Arial"/>
                <w:sz w:val="20"/>
                <w:szCs w:val="20"/>
              </w:rPr>
              <w:t>Council’s request for the proponent to prepare an Economic Impact Statement (EIS). Council then contracted a peer review of the proponent’s EIS. The proponent then submitted Supplementary Advice to support the Economic Impact Statement.</w:t>
            </w:r>
          </w:p>
          <w:p w:rsidR="00143E72" w:rsidRPr="00A16FE5" w:rsidRDefault="00143E72" w:rsidP="003E1780">
            <w:pPr>
              <w:numPr>
                <w:ilvl w:val="0"/>
                <w:numId w:val="13"/>
              </w:numPr>
              <w:autoSpaceDE w:val="0"/>
              <w:autoSpaceDN w:val="0"/>
              <w:adjustRightInd w:val="0"/>
              <w:rPr>
                <w:rFonts w:cs="Arial"/>
                <w:sz w:val="20"/>
                <w:szCs w:val="20"/>
              </w:rPr>
            </w:pPr>
            <w:r w:rsidRPr="00A16FE5">
              <w:rPr>
                <w:rFonts w:cs="Arial"/>
                <w:sz w:val="20"/>
                <w:szCs w:val="20"/>
              </w:rPr>
              <w:t xml:space="preserve">Council advising the proponent to wait until the draft FRDS and draft Fairfield LEP 2013 were put on public exhibition, then make a submission regarding rezoning the </w:t>
            </w:r>
            <w:r w:rsidRPr="00A16FE5">
              <w:rPr>
                <w:rFonts w:cs="Arial"/>
                <w:sz w:val="20"/>
                <w:szCs w:val="20"/>
              </w:rPr>
              <w:lastRenderedPageBreak/>
              <w:t>site to R4.</w:t>
            </w:r>
          </w:p>
          <w:p w:rsidR="00143E72" w:rsidRPr="00A16FE5" w:rsidRDefault="00143E72" w:rsidP="003E1780">
            <w:pPr>
              <w:numPr>
                <w:ilvl w:val="0"/>
                <w:numId w:val="13"/>
              </w:numPr>
              <w:autoSpaceDE w:val="0"/>
              <w:autoSpaceDN w:val="0"/>
              <w:adjustRightInd w:val="0"/>
              <w:rPr>
                <w:rFonts w:cs="Arial"/>
                <w:sz w:val="20"/>
                <w:szCs w:val="20"/>
              </w:rPr>
            </w:pPr>
            <w:r w:rsidRPr="00A16FE5">
              <w:rPr>
                <w:rFonts w:cs="Arial"/>
                <w:sz w:val="20"/>
                <w:szCs w:val="20"/>
              </w:rPr>
              <w:t>The Applicant requesting deferral of the proposal due to community concerns relating to traffic issues</w:t>
            </w:r>
          </w:p>
          <w:p w:rsidR="00143E72" w:rsidRPr="00A16FE5" w:rsidRDefault="00143E72" w:rsidP="003E1780">
            <w:pPr>
              <w:numPr>
                <w:ilvl w:val="0"/>
                <w:numId w:val="13"/>
              </w:numPr>
              <w:autoSpaceDE w:val="0"/>
              <w:autoSpaceDN w:val="0"/>
              <w:adjustRightInd w:val="0"/>
              <w:rPr>
                <w:rFonts w:cs="Arial"/>
                <w:sz w:val="20"/>
                <w:szCs w:val="20"/>
              </w:rPr>
            </w:pPr>
            <w:r w:rsidRPr="00A16FE5">
              <w:rPr>
                <w:rFonts w:cs="Arial"/>
                <w:sz w:val="20"/>
                <w:szCs w:val="20"/>
              </w:rPr>
              <w:t>Consultation between Council and the DPI relating to the prohibition of ‘</w:t>
            </w:r>
            <w:r w:rsidRPr="00A16FE5">
              <w:rPr>
                <w:rFonts w:cs="Arial"/>
                <w:i/>
                <w:sz w:val="20"/>
                <w:szCs w:val="20"/>
              </w:rPr>
              <w:t>food and drink premises</w:t>
            </w:r>
            <w:r w:rsidRPr="00A16FE5">
              <w:rPr>
                <w:rFonts w:cs="Arial"/>
                <w:sz w:val="20"/>
                <w:szCs w:val="20"/>
              </w:rPr>
              <w:t>’ on the subject site</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sz w:val="20"/>
                <w:szCs w:val="20"/>
              </w:rPr>
            </w:pPr>
            <w:r>
              <w:rPr>
                <w:rFonts w:cs="Arial"/>
                <w:sz w:val="20"/>
                <w:szCs w:val="20"/>
              </w:rPr>
              <w:t>The report to Council</w:t>
            </w:r>
            <w:r w:rsidRPr="00A16FE5">
              <w:rPr>
                <w:rFonts w:cs="Arial"/>
                <w:sz w:val="20"/>
                <w:szCs w:val="20"/>
              </w:rPr>
              <w:t xml:space="preserve"> recommended supporting the proposal for B2 rezoning and mixed use development at the Outcomes Committee meeting on 14 May 2013, given the mixed use and medium density development adjoining the site. In addition, </w:t>
            </w:r>
            <w:r>
              <w:rPr>
                <w:rFonts w:cs="Arial"/>
                <w:sz w:val="20"/>
                <w:szCs w:val="20"/>
              </w:rPr>
              <w:t>the report</w:t>
            </w:r>
            <w:r w:rsidRPr="00A16FE5">
              <w:rPr>
                <w:rFonts w:cs="Arial"/>
                <w:sz w:val="20"/>
                <w:szCs w:val="20"/>
              </w:rPr>
              <w:t xml:space="preserve"> considered that the proposal is consistent with the applicable themes of the Fairfield City Plan and draft FRDS and the relevant directions of the Metropolitan Plan for Sydney 2036.</w:t>
            </w:r>
          </w:p>
          <w:p w:rsidR="00143E72" w:rsidRPr="00A16FE5" w:rsidRDefault="00143E72" w:rsidP="00DF030A">
            <w:pPr>
              <w:rPr>
                <w:rFonts w:cs="Arial"/>
                <w:sz w:val="20"/>
                <w:szCs w:val="20"/>
              </w:rPr>
            </w:pPr>
          </w:p>
          <w:p w:rsidR="00143E72" w:rsidRPr="00A16FE5" w:rsidRDefault="00143E72" w:rsidP="00DF030A">
            <w:pPr>
              <w:rPr>
                <w:rFonts w:cs="Arial"/>
                <w:sz w:val="20"/>
                <w:szCs w:val="20"/>
              </w:rPr>
            </w:pPr>
            <w:r>
              <w:rPr>
                <w:rFonts w:cs="Arial"/>
                <w:sz w:val="20"/>
                <w:szCs w:val="20"/>
              </w:rPr>
              <w:t xml:space="preserve">Council, at its meeting of </w:t>
            </w:r>
            <w:r w:rsidRPr="00A16FE5">
              <w:rPr>
                <w:rFonts w:cs="Arial"/>
                <w:sz w:val="20"/>
                <w:szCs w:val="20"/>
              </w:rPr>
              <w:t xml:space="preserve">28 May 2013 </w:t>
            </w:r>
            <w:r>
              <w:rPr>
                <w:rFonts w:cs="Arial"/>
                <w:sz w:val="20"/>
                <w:szCs w:val="20"/>
              </w:rPr>
              <w:t xml:space="preserve">resolved </w:t>
            </w:r>
            <w:r w:rsidRPr="00A16FE5">
              <w:rPr>
                <w:rFonts w:cs="Arial"/>
                <w:sz w:val="20"/>
                <w:szCs w:val="20"/>
              </w:rPr>
              <w:t>not to support the proposal for the following reasons:</w:t>
            </w:r>
          </w:p>
          <w:p w:rsidR="00143E72" w:rsidRPr="00A16FE5" w:rsidRDefault="00143E72" w:rsidP="00DF030A">
            <w:pPr>
              <w:rPr>
                <w:rFonts w:cs="Arial"/>
                <w:sz w:val="20"/>
                <w:szCs w:val="20"/>
              </w:rPr>
            </w:pPr>
          </w:p>
          <w:p w:rsidR="00143E72" w:rsidRPr="00A16FE5" w:rsidRDefault="00143E72" w:rsidP="003E1780">
            <w:pPr>
              <w:numPr>
                <w:ilvl w:val="0"/>
                <w:numId w:val="12"/>
              </w:numPr>
              <w:rPr>
                <w:rFonts w:cs="Arial"/>
                <w:sz w:val="20"/>
                <w:szCs w:val="20"/>
              </w:rPr>
            </w:pPr>
            <w:r w:rsidRPr="00A16FE5">
              <w:rPr>
                <w:rFonts w:cs="Arial"/>
                <w:sz w:val="20"/>
                <w:szCs w:val="20"/>
              </w:rPr>
              <w:t>Setting an undesirable precedent for land for zoning land for commercial purposes outside the Fairfield Heights town centre, given that there is already sufficient land zoned for commercial uses in the centre.</w:t>
            </w:r>
          </w:p>
          <w:p w:rsidR="00143E72" w:rsidRPr="00A16FE5" w:rsidRDefault="00143E72" w:rsidP="003E1780">
            <w:pPr>
              <w:numPr>
                <w:ilvl w:val="0"/>
                <w:numId w:val="12"/>
              </w:numPr>
              <w:rPr>
                <w:rFonts w:cs="Arial"/>
                <w:sz w:val="20"/>
                <w:szCs w:val="20"/>
              </w:rPr>
            </w:pPr>
            <w:r w:rsidRPr="00A16FE5">
              <w:rPr>
                <w:rFonts w:cs="Arial"/>
                <w:sz w:val="20"/>
                <w:szCs w:val="20"/>
              </w:rPr>
              <w:t>There is no planning strategy or commercial study which supports rezoning of sites for commercial purposes outside the town centre.</w:t>
            </w:r>
          </w:p>
          <w:p w:rsidR="00143E72" w:rsidRPr="00A16FE5" w:rsidRDefault="00143E72" w:rsidP="003E1780">
            <w:pPr>
              <w:numPr>
                <w:ilvl w:val="0"/>
                <w:numId w:val="12"/>
              </w:numPr>
              <w:rPr>
                <w:rFonts w:cs="Arial"/>
                <w:sz w:val="20"/>
                <w:szCs w:val="20"/>
              </w:rPr>
            </w:pPr>
            <w:r w:rsidRPr="00A16FE5">
              <w:rPr>
                <w:rFonts w:cs="Arial"/>
                <w:sz w:val="20"/>
                <w:szCs w:val="20"/>
              </w:rPr>
              <w:t>The existing locality is already affected by adverse traffic impacts.</w:t>
            </w:r>
          </w:p>
          <w:p w:rsidR="00143E72" w:rsidRPr="00830193" w:rsidRDefault="00143E72" w:rsidP="00DF030A">
            <w:pPr>
              <w:rPr>
                <w:rFonts w:cs="Arial"/>
                <w:sz w:val="18"/>
                <w:szCs w:val="18"/>
              </w:rPr>
            </w:pPr>
          </w:p>
          <w:p w:rsidR="00143E72" w:rsidRPr="0074365F" w:rsidRDefault="00143E72" w:rsidP="00DF030A">
            <w:pPr>
              <w:rPr>
                <w:rFonts w:cs="Arial"/>
                <w:sz w:val="20"/>
                <w:szCs w:val="20"/>
              </w:rPr>
            </w:pPr>
          </w:p>
        </w:tc>
      </w:tr>
    </w:tbl>
    <w:p w:rsidR="00143E72" w:rsidRDefault="00143E72" w:rsidP="003E1780">
      <w:pPr>
        <w:rPr>
          <w:rFonts w:cs="Arial"/>
          <w:b/>
          <w:sz w:val="10"/>
          <w:szCs w:val="10"/>
          <w:u w:val="single"/>
        </w:rPr>
      </w:pPr>
    </w:p>
    <w:p w:rsidR="00143E72" w:rsidRPr="00C52FA2" w:rsidRDefault="00143E72" w:rsidP="003E1780">
      <w:pPr>
        <w:rPr>
          <w:rFonts w:cs="Arial"/>
          <w:b/>
          <w:sz w:val="10"/>
          <w:szCs w:val="10"/>
          <w:u w:val="single"/>
        </w:rPr>
      </w:pPr>
      <w:r>
        <w:rPr>
          <w:rFonts w:cs="Arial"/>
          <w:b/>
          <w:sz w:val="10"/>
          <w:szCs w:val="10"/>
          <w:u w:val="single"/>
        </w:rPr>
        <w:br w:type="page"/>
      </w:r>
    </w:p>
    <w:p w:rsidR="00143E72" w:rsidRPr="002434EE" w:rsidRDefault="00143E72" w:rsidP="003E1780">
      <w:pPr>
        <w:shd w:val="clear" w:color="auto" w:fill="808080"/>
        <w:spacing w:after="120"/>
        <w:rPr>
          <w:rFonts w:cs="Arial"/>
          <w:b/>
          <w:color w:val="FFFFFF"/>
          <w:sz w:val="26"/>
          <w:szCs w:val="26"/>
        </w:rPr>
      </w:pPr>
      <w:r w:rsidRPr="002434EE">
        <w:rPr>
          <w:rFonts w:cs="Arial"/>
          <w:b/>
          <w:color w:val="FFFFFF"/>
          <w:sz w:val="26"/>
          <w:szCs w:val="26"/>
        </w:rPr>
        <w:t xml:space="preserve">Background supporting information </w:t>
      </w:r>
    </w:p>
    <w:tbl>
      <w:tblPr>
        <w:tblW w:w="10490" w:type="dxa"/>
        <w:jc w:val="center"/>
        <w:tblLayout w:type="fixed"/>
        <w:tblLook w:val="01E0" w:firstRow="1" w:lastRow="1" w:firstColumn="1" w:lastColumn="1" w:noHBand="0" w:noVBand="0"/>
      </w:tblPr>
      <w:tblGrid>
        <w:gridCol w:w="8504"/>
        <w:gridCol w:w="992"/>
        <w:gridCol w:w="994"/>
      </w:tblGrid>
      <w:tr w:rsidR="00143E72" w:rsidRPr="003A27DE" w:rsidTr="00DF030A">
        <w:trPr>
          <w:jc w:val="center"/>
        </w:trPr>
        <w:tc>
          <w:tcPr>
            <w:tcW w:w="10490" w:type="dxa"/>
            <w:gridSpan w:val="3"/>
            <w:vAlign w:val="center"/>
          </w:tcPr>
          <w:p w:rsidR="00143E72" w:rsidRPr="003A27DE" w:rsidRDefault="00143E72" w:rsidP="00DF030A">
            <w:pPr>
              <w:spacing w:before="240" w:after="240"/>
              <w:rPr>
                <w:rFonts w:cs="Arial"/>
              </w:rPr>
            </w:pPr>
            <w:r w:rsidRPr="003A27DE">
              <w:rPr>
                <w:rFonts w:cs="Arial"/>
                <w:sz w:val="22"/>
                <w:szCs w:val="22"/>
              </w:rPr>
              <w:t xml:space="preserve">List information provided by the proponent: </w:t>
            </w:r>
          </w:p>
          <w:p w:rsidR="00143E72" w:rsidRDefault="00143E72" w:rsidP="00DF030A">
            <w:pPr>
              <w:rPr>
                <w:rFonts w:cs="Arial"/>
                <w:sz w:val="20"/>
                <w:szCs w:val="20"/>
              </w:rPr>
            </w:pPr>
            <w:r>
              <w:rPr>
                <w:rFonts w:cs="Arial"/>
                <w:sz w:val="20"/>
                <w:szCs w:val="20"/>
              </w:rPr>
              <w:t xml:space="preserve">1. </w:t>
            </w:r>
            <w:r w:rsidRPr="003A27DE">
              <w:rPr>
                <w:rFonts w:cs="Arial"/>
                <w:sz w:val="20"/>
                <w:szCs w:val="20"/>
              </w:rPr>
              <w:t>The proponent’s Pre-Gateway Review Application, prepared by Gat &amp; Associates in J</w:t>
            </w:r>
            <w:r>
              <w:rPr>
                <w:rFonts w:cs="Arial"/>
                <w:sz w:val="20"/>
                <w:szCs w:val="20"/>
              </w:rPr>
              <w:t>uly 2013, including:</w:t>
            </w:r>
          </w:p>
          <w:p w:rsidR="00143E72" w:rsidRDefault="00143E72" w:rsidP="00DF030A">
            <w:pPr>
              <w:rPr>
                <w:rFonts w:cs="Arial"/>
                <w:sz w:val="20"/>
                <w:szCs w:val="20"/>
              </w:rPr>
            </w:pPr>
          </w:p>
          <w:p w:rsidR="00143E72" w:rsidRDefault="00143E72" w:rsidP="003E1780">
            <w:pPr>
              <w:numPr>
                <w:ilvl w:val="0"/>
                <w:numId w:val="16"/>
              </w:numPr>
              <w:rPr>
                <w:rFonts w:cs="Arial"/>
                <w:sz w:val="20"/>
                <w:szCs w:val="20"/>
              </w:rPr>
            </w:pPr>
            <w:r>
              <w:rPr>
                <w:rFonts w:cs="Arial"/>
                <w:sz w:val="20"/>
                <w:szCs w:val="20"/>
              </w:rPr>
              <w:t>Pre-Gateway Review</w:t>
            </w:r>
          </w:p>
          <w:p w:rsidR="00143E72" w:rsidRDefault="00143E72" w:rsidP="003E1780">
            <w:pPr>
              <w:numPr>
                <w:ilvl w:val="0"/>
                <w:numId w:val="16"/>
              </w:numPr>
              <w:rPr>
                <w:rFonts w:cs="Arial"/>
                <w:sz w:val="20"/>
                <w:szCs w:val="20"/>
              </w:rPr>
            </w:pPr>
            <w:r>
              <w:rPr>
                <w:rFonts w:cs="Arial"/>
                <w:sz w:val="20"/>
                <w:szCs w:val="20"/>
              </w:rPr>
              <w:t>Appendix A: Chronology of Events</w:t>
            </w:r>
          </w:p>
          <w:p w:rsidR="00143E72" w:rsidRPr="003A27DE" w:rsidRDefault="00143E72" w:rsidP="003E1780">
            <w:pPr>
              <w:numPr>
                <w:ilvl w:val="0"/>
                <w:numId w:val="16"/>
              </w:numPr>
              <w:rPr>
                <w:rFonts w:cs="Arial"/>
                <w:sz w:val="20"/>
                <w:szCs w:val="20"/>
              </w:rPr>
            </w:pPr>
            <w:r>
              <w:rPr>
                <w:rFonts w:cs="Arial"/>
                <w:sz w:val="20"/>
                <w:szCs w:val="20"/>
              </w:rPr>
              <w:t>Appendix B: Rezoning Application to Fairfield Council, dated 12.10.11</w:t>
            </w:r>
          </w:p>
          <w:p w:rsidR="00143E72" w:rsidRPr="00DA407D" w:rsidRDefault="00143E72" w:rsidP="003E1780">
            <w:pPr>
              <w:numPr>
                <w:ilvl w:val="0"/>
                <w:numId w:val="16"/>
              </w:numPr>
              <w:rPr>
                <w:rFonts w:cs="Arial"/>
                <w:sz w:val="20"/>
                <w:szCs w:val="20"/>
              </w:rPr>
            </w:pPr>
            <w:r>
              <w:rPr>
                <w:rFonts w:cs="Arial"/>
                <w:bCs/>
                <w:sz w:val="20"/>
                <w:szCs w:val="20"/>
              </w:rPr>
              <w:t xml:space="preserve">Appendix C: </w:t>
            </w:r>
            <w:r w:rsidRPr="003A27DE">
              <w:rPr>
                <w:rFonts w:cs="Arial"/>
                <w:bCs/>
                <w:sz w:val="20"/>
                <w:szCs w:val="20"/>
              </w:rPr>
              <w:t>Correspondence from Fairfield Council to Gat &amp; Associates dated 23 December 2011</w:t>
            </w:r>
            <w:r>
              <w:rPr>
                <w:rFonts w:cs="Arial"/>
                <w:bCs/>
                <w:sz w:val="20"/>
                <w:szCs w:val="20"/>
              </w:rPr>
              <w:t xml:space="preserve"> and c</w:t>
            </w:r>
            <w:r w:rsidRPr="003A27DE">
              <w:rPr>
                <w:rFonts w:cs="Arial"/>
                <w:bCs/>
                <w:sz w:val="20"/>
                <w:szCs w:val="20"/>
              </w:rPr>
              <w:t>orrespondence from Fairfield Council to Gat &amp; Associates dated 23 September 2010</w:t>
            </w:r>
            <w:r>
              <w:rPr>
                <w:rFonts w:cs="Arial"/>
                <w:bCs/>
                <w:sz w:val="20"/>
                <w:szCs w:val="20"/>
              </w:rPr>
              <w:t>.</w:t>
            </w:r>
          </w:p>
          <w:p w:rsidR="00143E72" w:rsidRPr="00DA407D" w:rsidRDefault="00143E72" w:rsidP="003E1780">
            <w:pPr>
              <w:numPr>
                <w:ilvl w:val="0"/>
                <w:numId w:val="16"/>
              </w:numPr>
              <w:rPr>
                <w:rFonts w:cs="Arial"/>
                <w:sz w:val="20"/>
                <w:szCs w:val="20"/>
              </w:rPr>
            </w:pPr>
            <w:r>
              <w:rPr>
                <w:rFonts w:cs="Arial"/>
                <w:bCs/>
                <w:sz w:val="20"/>
                <w:szCs w:val="20"/>
              </w:rPr>
              <w:t>Appendix D: Fairfield City Council Outcomes Committee Report, dated 14 May 2013, including:</w:t>
            </w:r>
          </w:p>
          <w:p w:rsidR="00143E72" w:rsidRDefault="00143E72" w:rsidP="00DF030A">
            <w:pPr>
              <w:ind w:left="720"/>
              <w:rPr>
                <w:rFonts w:cs="Arial"/>
                <w:sz w:val="20"/>
                <w:szCs w:val="20"/>
              </w:rPr>
            </w:pPr>
          </w:p>
          <w:p w:rsidR="00143E72" w:rsidRDefault="00143E72" w:rsidP="003E1780">
            <w:pPr>
              <w:numPr>
                <w:ilvl w:val="0"/>
                <w:numId w:val="14"/>
              </w:numPr>
              <w:rPr>
                <w:rFonts w:cs="Arial"/>
                <w:sz w:val="20"/>
                <w:szCs w:val="20"/>
              </w:rPr>
            </w:pPr>
            <w:r>
              <w:rPr>
                <w:rFonts w:cs="Arial"/>
                <w:sz w:val="20"/>
                <w:szCs w:val="20"/>
              </w:rPr>
              <w:t>Minutes of the Meeting 14 May 2013</w:t>
            </w:r>
          </w:p>
          <w:p w:rsidR="00143E72" w:rsidRDefault="00143E72" w:rsidP="003E1780">
            <w:pPr>
              <w:numPr>
                <w:ilvl w:val="0"/>
                <w:numId w:val="14"/>
              </w:numPr>
              <w:rPr>
                <w:rFonts w:cs="Arial"/>
                <w:sz w:val="20"/>
                <w:szCs w:val="20"/>
              </w:rPr>
            </w:pPr>
            <w:r>
              <w:rPr>
                <w:rFonts w:cs="Arial"/>
                <w:sz w:val="20"/>
                <w:szCs w:val="20"/>
              </w:rPr>
              <w:t>Attachment A: Location Map, Aerial Photo, Zoning Maps under Fairfield LEPs 1994 and 2011 (now 2013)</w:t>
            </w:r>
          </w:p>
          <w:p w:rsidR="00143E72" w:rsidRDefault="00143E72" w:rsidP="003E1780">
            <w:pPr>
              <w:numPr>
                <w:ilvl w:val="0"/>
                <w:numId w:val="14"/>
              </w:numPr>
              <w:rPr>
                <w:rFonts w:cs="Arial"/>
                <w:sz w:val="20"/>
                <w:szCs w:val="20"/>
              </w:rPr>
            </w:pPr>
            <w:r>
              <w:rPr>
                <w:rFonts w:cs="Arial"/>
                <w:sz w:val="20"/>
                <w:szCs w:val="20"/>
              </w:rPr>
              <w:t>Attachment B: Chronology of Progression of the Proposal</w:t>
            </w:r>
          </w:p>
          <w:p w:rsidR="00143E72" w:rsidRDefault="00143E72" w:rsidP="003E1780">
            <w:pPr>
              <w:numPr>
                <w:ilvl w:val="0"/>
                <w:numId w:val="14"/>
              </w:numPr>
              <w:rPr>
                <w:rFonts w:cs="Arial"/>
                <w:sz w:val="20"/>
                <w:szCs w:val="20"/>
              </w:rPr>
            </w:pPr>
            <w:r>
              <w:rPr>
                <w:rFonts w:cs="Arial"/>
                <w:sz w:val="20"/>
                <w:szCs w:val="20"/>
              </w:rPr>
              <w:t>Attachment C: Correspondence from Gat &amp; Associates to Fairfield Council, dated 12 April 2013</w:t>
            </w:r>
          </w:p>
          <w:p w:rsidR="00143E72" w:rsidRDefault="00143E72" w:rsidP="003E1780">
            <w:pPr>
              <w:numPr>
                <w:ilvl w:val="0"/>
                <w:numId w:val="14"/>
              </w:numPr>
              <w:rPr>
                <w:rFonts w:cs="Arial"/>
                <w:sz w:val="20"/>
                <w:szCs w:val="20"/>
              </w:rPr>
            </w:pPr>
            <w:r>
              <w:rPr>
                <w:rFonts w:cs="Arial"/>
                <w:sz w:val="20"/>
                <w:szCs w:val="20"/>
              </w:rPr>
              <w:t xml:space="preserve">Attachment D: </w:t>
            </w:r>
            <w:r w:rsidRPr="003A27DE">
              <w:rPr>
                <w:rFonts w:cs="Arial"/>
                <w:sz w:val="20"/>
                <w:szCs w:val="20"/>
              </w:rPr>
              <w:t>A Peer Review of the Economic Capability Assessment, prepared by Norling Consulting for Council in November 2012).</w:t>
            </w:r>
          </w:p>
          <w:p w:rsidR="00143E72" w:rsidRDefault="00143E72" w:rsidP="003E1780">
            <w:pPr>
              <w:numPr>
                <w:ilvl w:val="0"/>
                <w:numId w:val="14"/>
              </w:numPr>
              <w:rPr>
                <w:rFonts w:cs="Arial"/>
                <w:sz w:val="20"/>
                <w:szCs w:val="20"/>
              </w:rPr>
            </w:pPr>
            <w:r>
              <w:rPr>
                <w:rFonts w:cs="Arial"/>
                <w:sz w:val="20"/>
                <w:szCs w:val="20"/>
              </w:rPr>
              <w:t>Attachment E: The Original Planning Proposal, dated September 2011, prepared by Gat &amp; Associates, including:</w:t>
            </w:r>
          </w:p>
          <w:p w:rsidR="00143E72" w:rsidRDefault="00143E72" w:rsidP="003E1780">
            <w:pPr>
              <w:numPr>
                <w:ilvl w:val="0"/>
                <w:numId w:val="18"/>
              </w:numPr>
              <w:rPr>
                <w:rFonts w:cs="Arial"/>
                <w:sz w:val="20"/>
                <w:szCs w:val="20"/>
              </w:rPr>
            </w:pPr>
            <w:r>
              <w:rPr>
                <w:rFonts w:cs="Arial"/>
                <w:sz w:val="20"/>
                <w:szCs w:val="20"/>
              </w:rPr>
              <w:t>Correspondence from Gat &amp; Associates to Fairfield Council, dated 8 August 2012</w:t>
            </w:r>
          </w:p>
          <w:p w:rsidR="00143E72" w:rsidRDefault="00143E72" w:rsidP="003E1780">
            <w:pPr>
              <w:numPr>
                <w:ilvl w:val="0"/>
                <w:numId w:val="18"/>
              </w:numPr>
              <w:rPr>
                <w:rFonts w:cs="Arial"/>
                <w:sz w:val="20"/>
                <w:szCs w:val="20"/>
              </w:rPr>
            </w:pPr>
            <w:r w:rsidRPr="005C5C98">
              <w:rPr>
                <w:rFonts w:cs="Arial"/>
                <w:sz w:val="20"/>
                <w:szCs w:val="20"/>
              </w:rPr>
              <w:t>An Economic Capability Assessment, requested by Council and prepared by Don Fox Planning in July 2012.</w:t>
            </w:r>
          </w:p>
          <w:p w:rsidR="00143E72" w:rsidRPr="005C5C98" w:rsidRDefault="00143E72" w:rsidP="00DF030A">
            <w:pPr>
              <w:rPr>
                <w:rFonts w:cs="Arial"/>
                <w:sz w:val="20"/>
                <w:szCs w:val="20"/>
              </w:rPr>
            </w:pPr>
          </w:p>
          <w:p w:rsidR="00143E72" w:rsidRPr="005C5C98" w:rsidRDefault="00143E72" w:rsidP="003E1780">
            <w:pPr>
              <w:numPr>
                <w:ilvl w:val="0"/>
                <w:numId w:val="16"/>
              </w:numPr>
              <w:rPr>
                <w:rFonts w:cs="Arial"/>
                <w:sz w:val="20"/>
                <w:szCs w:val="20"/>
              </w:rPr>
            </w:pPr>
            <w:r>
              <w:rPr>
                <w:rFonts w:cs="Arial"/>
                <w:bCs/>
                <w:sz w:val="20"/>
                <w:szCs w:val="20"/>
              </w:rPr>
              <w:t xml:space="preserve">Appendix E: </w:t>
            </w:r>
            <w:r w:rsidRPr="003A27DE">
              <w:rPr>
                <w:rFonts w:cs="Arial"/>
                <w:bCs/>
                <w:sz w:val="20"/>
                <w:szCs w:val="20"/>
              </w:rPr>
              <w:t xml:space="preserve">Correspondence from Fairfield Council to Gat &amp; Associates dated </w:t>
            </w:r>
            <w:r>
              <w:rPr>
                <w:rFonts w:cs="Arial"/>
                <w:bCs/>
                <w:sz w:val="20"/>
                <w:szCs w:val="20"/>
              </w:rPr>
              <w:t>14 June 2013</w:t>
            </w:r>
          </w:p>
          <w:p w:rsidR="00143E72" w:rsidRPr="003A27DE" w:rsidRDefault="00143E72" w:rsidP="003E1780">
            <w:pPr>
              <w:numPr>
                <w:ilvl w:val="0"/>
                <w:numId w:val="16"/>
              </w:numPr>
              <w:rPr>
                <w:rFonts w:cs="Arial"/>
                <w:sz w:val="20"/>
                <w:szCs w:val="20"/>
              </w:rPr>
            </w:pPr>
            <w:r>
              <w:rPr>
                <w:rFonts w:cs="Arial"/>
                <w:bCs/>
                <w:sz w:val="20"/>
                <w:szCs w:val="20"/>
              </w:rPr>
              <w:t xml:space="preserve">Appendix F: </w:t>
            </w:r>
            <w:r w:rsidRPr="003A27DE">
              <w:rPr>
                <w:rFonts w:cs="Arial"/>
                <w:bCs/>
                <w:sz w:val="20"/>
                <w:szCs w:val="20"/>
              </w:rPr>
              <w:t>Supplementary Advice to Economic Capability Report</w:t>
            </w:r>
            <w:r w:rsidRPr="003A27DE">
              <w:rPr>
                <w:rFonts w:cs="Arial"/>
                <w:sz w:val="20"/>
                <w:szCs w:val="20"/>
              </w:rPr>
              <w:t xml:space="preserve"> </w:t>
            </w:r>
            <w:r w:rsidRPr="003A27DE">
              <w:rPr>
                <w:rFonts w:cs="Arial"/>
                <w:bCs/>
                <w:sz w:val="20"/>
                <w:szCs w:val="20"/>
              </w:rPr>
              <w:t>from Don Fox Planning dated July 2013.</w:t>
            </w:r>
          </w:p>
          <w:p w:rsidR="00143E72" w:rsidRDefault="00143E72" w:rsidP="00DF030A">
            <w:pPr>
              <w:ind w:left="720"/>
              <w:rPr>
                <w:rFonts w:cs="Arial"/>
                <w:sz w:val="20"/>
                <w:szCs w:val="20"/>
              </w:rPr>
            </w:pPr>
            <w:r w:rsidRPr="003A27DE">
              <w:rPr>
                <w:rFonts w:cs="Arial"/>
                <w:sz w:val="20"/>
                <w:szCs w:val="20"/>
              </w:rPr>
              <w:t>Correspondence from Fairfield Council to Gat &amp; Associates, dated 14 June 2013.</w:t>
            </w:r>
          </w:p>
          <w:p w:rsidR="00143E72" w:rsidRDefault="00143E72" w:rsidP="00DF030A">
            <w:pPr>
              <w:rPr>
                <w:rFonts w:cs="Arial"/>
                <w:sz w:val="20"/>
                <w:szCs w:val="20"/>
              </w:rPr>
            </w:pPr>
            <w:r>
              <w:rPr>
                <w:rFonts w:cs="Arial"/>
                <w:sz w:val="20"/>
                <w:szCs w:val="20"/>
              </w:rPr>
              <w:t>2. Massing Diagrams (2 sheets)</w:t>
            </w:r>
          </w:p>
          <w:p w:rsidR="00143E72" w:rsidRDefault="00143E72" w:rsidP="00DF030A">
            <w:pPr>
              <w:rPr>
                <w:rFonts w:cs="Arial"/>
                <w:sz w:val="20"/>
                <w:szCs w:val="20"/>
              </w:rPr>
            </w:pPr>
            <w:r>
              <w:rPr>
                <w:rFonts w:cs="Arial"/>
                <w:sz w:val="20"/>
                <w:szCs w:val="20"/>
              </w:rPr>
              <w:t>3. Site Analysis Plan</w:t>
            </w:r>
          </w:p>
          <w:p w:rsidR="00143E72" w:rsidRDefault="00143E72" w:rsidP="00DF030A">
            <w:pPr>
              <w:rPr>
                <w:rFonts w:cs="Arial"/>
                <w:sz w:val="20"/>
                <w:szCs w:val="20"/>
              </w:rPr>
            </w:pPr>
            <w:r>
              <w:rPr>
                <w:rFonts w:cs="Arial"/>
                <w:sz w:val="20"/>
                <w:szCs w:val="20"/>
              </w:rPr>
              <w:t>4. Signed JRPP Application, dated 23 July 2013</w:t>
            </w:r>
          </w:p>
          <w:p w:rsidR="00143E72" w:rsidRPr="003A27DE" w:rsidRDefault="00143E72" w:rsidP="00DF030A">
            <w:pPr>
              <w:rPr>
                <w:rFonts w:cs="Arial"/>
                <w:sz w:val="20"/>
                <w:szCs w:val="20"/>
              </w:rPr>
            </w:pPr>
            <w:r>
              <w:rPr>
                <w:rFonts w:cs="Arial"/>
                <w:sz w:val="20"/>
                <w:szCs w:val="20"/>
              </w:rPr>
              <w:t>5. Cover Letter from Gat &amp; Associates to the Department, dated 23 July 2013.</w:t>
            </w:r>
          </w:p>
          <w:p w:rsidR="00143E72" w:rsidRPr="003A27DE" w:rsidRDefault="00143E72" w:rsidP="00DF030A">
            <w:pPr>
              <w:rPr>
                <w:rFonts w:cs="Arial"/>
                <w:sz w:val="20"/>
                <w:szCs w:val="20"/>
              </w:rPr>
            </w:pPr>
          </w:p>
        </w:tc>
      </w:tr>
      <w:tr w:rsidR="00143E72" w:rsidRPr="00577DF5" w:rsidTr="00DF030A">
        <w:trPr>
          <w:jc w:val="center"/>
        </w:trPr>
        <w:tc>
          <w:tcPr>
            <w:tcW w:w="8504" w:type="dxa"/>
            <w:vAlign w:val="center"/>
          </w:tcPr>
          <w:p w:rsidR="00143E72" w:rsidRPr="00577DF5" w:rsidRDefault="00143E72" w:rsidP="00DF030A">
            <w:pPr>
              <w:spacing w:before="60" w:after="60"/>
              <w:rPr>
                <w:rFonts w:cs="Arial"/>
                <w:sz w:val="20"/>
                <w:szCs w:val="20"/>
              </w:rPr>
            </w:pPr>
            <w:r w:rsidRPr="00577DF5">
              <w:rPr>
                <w:rFonts w:cs="Arial"/>
                <w:sz w:val="20"/>
                <w:szCs w:val="20"/>
              </w:rPr>
              <w:t>Is the supporting information provided more than 2 years old?</w:t>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Yes </w:t>
            </w:r>
            <w:r w:rsidR="00BE5C1D" w:rsidRPr="00577DF5">
              <w:rPr>
                <w:rFonts w:cs="Arial"/>
                <w:sz w:val="20"/>
                <w:szCs w:val="20"/>
              </w:rPr>
              <w:fldChar w:fldCharType="begin">
                <w:ffData>
                  <w:name w:val=""/>
                  <w:enabled/>
                  <w:calcOnExit w:val="0"/>
                  <w:checkBox>
                    <w:size w:val="20"/>
                    <w:default w:val="0"/>
                  </w:checkBox>
                </w:ffData>
              </w:fldChar>
            </w:r>
            <w:r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sidRPr="00577DF5">
              <w:rPr>
                <w:rFonts w:cs="Arial"/>
                <w:sz w:val="20"/>
                <w:szCs w:val="20"/>
              </w:rPr>
              <w:fldChar w:fldCharType="end"/>
            </w:r>
          </w:p>
        </w:tc>
        <w:tc>
          <w:tcPr>
            <w:tcW w:w="994" w:type="dxa"/>
            <w:vAlign w:val="center"/>
          </w:tcPr>
          <w:p w:rsidR="00143E72" w:rsidRPr="00577DF5" w:rsidRDefault="00143E72" w:rsidP="00DF030A">
            <w:pPr>
              <w:jc w:val="center"/>
              <w:rPr>
                <w:rFonts w:cs="Arial"/>
                <w:b/>
                <w:sz w:val="20"/>
                <w:szCs w:val="20"/>
              </w:rPr>
            </w:pPr>
            <w:r w:rsidRPr="00577DF5">
              <w:rPr>
                <w:rFonts w:cs="Arial"/>
                <w:b/>
                <w:sz w:val="20"/>
                <w:szCs w:val="20"/>
              </w:rPr>
              <w:t xml:space="preserve">No </w:t>
            </w:r>
            <w:r w:rsidR="00BE5C1D">
              <w:rPr>
                <w:rFonts w:cs="Arial"/>
                <w:sz w:val="20"/>
                <w:szCs w:val="20"/>
              </w:rPr>
              <w:fldChar w:fldCharType="begin">
                <w:ffData>
                  <w:name w:val=""/>
                  <w:enabled/>
                  <w:calcOnExit w:val="0"/>
                  <w:checkBox>
                    <w:size w:val="20"/>
                    <w:default w:val="1"/>
                  </w:checkBox>
                </w:ffData>
              </w:fldChar>
            </w:r>
            <w:r>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Pr>
                <w:rFonts w:cs="Arial"/>
                <w:sz w:val="20"/>
                <w:szCs w:val="20"/>
              </w:rPr>
              <w:fldChar w:fldCharType="end"/>
            </w:r>
          </w:p>
        </w:tc>
      </w:tr>
      <w:tr w:rsidR="00143E72" w:rsidRPr="00577DF5" w:rsidTr="00DF030A">
        <w:trPr>
          <w:jc w:val="center"/>
        </w:trPr>
        <w:tc>
          <w:tcPr>
            <w:tcW w:w="10490" w:type="dxa"/>
            <w:gridSpan w:val="3"/>
            <w:vAlign w:val="center"/>
          </w:tcPr>
          <w:p w:rsidR="00143E72" w:rsidRPr="00577DF5" w:rsidRDefault="00143E72" w:rsidP="00DF030A">
            <w:pPr>
              <w:spacing w:before="60" w:after="60"/>
              <w:rPr>
                <w:rFonts w:cs="Arial"/>
                <w:sz w:val="20"/>
                <w:szCs w:val="20"/>
              </w:rPr>
            </w:pPr>
            <w:r w:rsidRPr="00577DF5">
              <w:rPr>
                <w:rFonts w:cs="Arial"/>
                <w:sz w:val="20"/>
                <w:szCs w:val="20"/>
              </w:rPr>
              <w:t>If ‘yes’</w:t>
            </w:r>
            <w:r>
              <w:rPr>
                <w:rFonts w:cs="Arial"/>
                <w:sz w:val="20"/>
                <w:szCs w:val="20"/>
              </w:rPr>
              <w:t>,</w:t>
            </w:r>
            <w:r w:rsidRPr="00577DF5">
              <w:rPr>
                <w:rFonts w:cs="Arial"/>
                <w:sz w:val="20"/>
                <w:szCs w:val="20"/>
              </w:rPr>
              <w:t xml:space="preserve"> explain/detail currency of information</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143E72" w:rsidRPr="00577DF5" w:rsidTr="00DF030A">
              <w:trPr>
                <w:jc w:val="center"/>
              </w:trPr>
              <w:tc>
                <w:tcPr>
                  <w:tcW w:w="10488" w:type="dxa"/>
                  <w:tcBorders>
                    <w:top w:val="single" w:sz="4" w:space="0" w:color="auto"/>
                    <w:left w:val="single" w:sz="4" w:space="0" w:color="auto"/>
                    <w:bottom w:val="single" w:sz="4" w:space="0" w:color="auto"/>
                    <w:right w:val="single" w:sz="4" w:space="0" w:color="auto"/>
                  </w:tcBorders>
                </w:tcPr>
                <w:p w:rsidR="00143E72" w:rsidRPr="00577DF5" w:rsidRDefault="00143E72" w:rsidP="00DF030A">
                  <w:pPr>
                    <w:spacing w:before="60" w:after="60"/>
                    <w:rPr>
                      <w:rFonts w:cs="Arial"/>
                      <w:b/>
                      <w:sz w:val="20"/>
                      <w:szCs w:val="20"/>
                    </w:rPr>
                  </w:pPr>
                </w:p>
              </w:tc>
            </w:tr>
          </w:tbl>
          <w:p w:rsidR="00143E72" w:rsidRPr="00577DF5" w:rsidRDefault="00143E72" w:rsidP="00DF030A">
            <w:pPr>
              <w:spacing w:before="60" w:after="60"/>
              <w:rPr>
                <w:rFonts w:cs="Arial"/>
                <w:b/>
                <w:sz w:val="20"/>
                <w:szCs w:val="20"/>
              </w:rPr>
            </w:pPr>
          </w:p>
        </w:tc>
      </w:tr>
      <w:tr w:rsidR="00143E72" w:rsidRPr="00577DF5" w:rsidTr="00DF030A">
        <w:trPr>
          <w:jc w:val="center"/>
        </w:trPr>
        <w:tc>
          <w:tcPr>
            <w:tcW w:w="8504" w:type="dxa"/>
            <w:vAlign w:val="center"/>
          </w:tcPr>
          <w:p w:rsidR="00143E72" w:rsidRDefault="00143E72" w:rsidP="00DF030A">
            <w:pPr>
              <w:spacing w:before="60" w:after="60"/>
              <w:rPr>
                <w:rFonts w:cs="Arial"/>
                <w:sz w:val="20"/>
                <w:szCs w:val="20"/>
              </w:rPr>
            </w:pPr>
            <w:r w:rsidRPr="00577DF5">
              <w:rPr>
                <w:rFonts w:cs="Arial"/>
                <w:sz w:val="20"/>
                <w:szCs w:val="20"/>
              </w:rPr>
              <w:t xml:space="preserve">Is there documented agreement between the proponent and the council regarding the scope/nature of supporting information to be provided? </w:t>
            </w:r>
          </w:p>
          <w:p w:rsidR="00143E72" w:rsidRPr="00DC5CB1" w:rsidRDefault="00143E72" w:rsidP="00DF030A">
            <w:pPr>
              <w:spacing w:before="60" w:after="60"/>
              <w:rPr>
                <w:rFonts w:cs="Arial"/>
                <w:b/>
                <w:sz w:val="20"/>
                <w:szCs w:val="20"/>
              </w:rPr>
            </w:pPr>
            <w:r w:rsidRPr="00DC5CB1">
              <w:rPr>
                <w:rFonts w:cs="Arial"/>
                <w:b/>
                <w:sz w:val="20"/>
                <w:szCs w:val="20"/>
              </w:rPr>
              <w:t>Comment:</w:t>
            </w:r>
          </w:p>
          <w:p w:rsidR="00143E72" w:rsidRPr="00577DF5" w:rsidRDefault="00143E72" w:rsidP="00DF030A">
            <w:pPr>
              <w:spacing w:before="60" w:after="60"/>
              <w:rPr>
                <w:rFonts w:cs="Arial"/>
                <w:sz w:val="20"/>
                <w:szCs w:val="20"/>
              </w:rPr>
            </w:pPr>
            <w:r>
              <w:rPr>
                <w:rFonts w:cs="Arial"/>
                <w:sz w:val="20"/>
                <w:szCs w:val="20"/>
              </w:rPr>
              <w:t>Council requested that the proponent prepare an Economic Impact Statement. An Economic Capability Assessment was prepared by Don Fox Planning in July 2012.</w:t>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Yes </w:t>
            </w:r>
            <w:r w:rsidR="00BE5C1D">
              <w:rPr>
                <w:rFonts w:cs="Arial"/>
                <w:sz w:val="20"/>
                <w:szCs w:val="20"/>
              </w:rPr>
              <w:fldChar w:fldCharType="begin">
                <w:ffData>
                  <w:name w:val=""/>
                  <w:enabled/>
                  <w:calcOnExit w:val="0"/>
                  <w:checkBox>
                    <w:size w:val="20"/>
                    <w:default w:val="1"/>
                  </w:checkBox>
                </w:ffData>
              </w:fldChar>
            </w:r>
            <w:r>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Pr>
                <w:rFonts w:cs="Arial"/>
                <w:sz w:val="20"/>
                <w:szCs w:val="20"/>
              </w:rPr>
              <w:fldChar w:fldCharType="end"/>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No </w:t>
            </w:r>
            <w:r w:rsidR="00BE5C1D" w:rsidRPr="00577DF5">
              <w:rPr>
                <w:rFonts w:cs="Arial"/>
                <w:sz w:val="20"/>
                <w:szCs w:val="20"/>
              </w:rPr>
              <w:fldChar w:fldCharType="begin">
                <w:ffData>
                  <w:name w:val=""/>
                  <w:enabled/>
                  <w:calcOnExit w:val="0"/>
                  <w:checkBox>
                    <w:size w:val="20"/>
                    <w:default w:val="0"/>
                  </w:checkBox>
                </w:ffData>
              </w:fldChar>
            </w:r>
            <w:r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sidRPr="00577DF5">
              <w:rPr>
                <w:rFonts w:cs="Arial"/>
                <w:sz w:val="20"/>
                <w:szCs w:val="20"/>
              </w:rPr>
              <w:fldChar w:fldCharType="end"/>
            </w:r>
          </w:p>
        </w:tc>
      </w:tr>
      <w:tr w:rsidR="00143E72" w:rsidRPr="00577DF5" w:rsidTr="00DF030A">
        <w:trPr>
          <w:jc w:val="center"/>
        </w:trPr>
        <w:tc>
          <w:tcPr>
            <w:tcW w:w="8504" w:type="dxa"/>
            <w:vAlign w:val="center"/>
          </w:tcPr>
          <w:p w:rsidR="00143E72" w:rsidRDefault="00143E72" w:rsidP="00DF030A">
            <w:pPr>
              <w:spacing w:before="60" w:after="60"/>
              <w:rPr>
                <w:rFonts w:cs="Arial"/>
                <w:sz w:val="20"/>
                <w:szCs w:val="20"/>
              </w:rPr>
            </w:pPr>
            <w:r w:rsidRPr="00577DF5">
              <w:rPr>
                <w:rFonts w:cs="Arial"/>
                <w:sz w:val="20"/>
                <w:szCs w:val="20"/>
              </w:rPr>
              <w:t>Is there evidence of agency involvement in the preparation of any supporting information or background studies?</w:t>
            </w:r>
          </w:p>
          <w:p w:rsidR="00143E72" w:rsidRPr="00DC5CB1" w:rsidRDefault="00143E72" w:rsidP="00DF030A">
            <w:pPr>
              <w:spacing w:before="60" w:after="60"/>
              <w:rPr>
                <w:rFonts w:cs="Arial"/>
                <w:b/>
                <w:sz w:val="20"/>
                <w:szCs w:val="20"/>
              </w:rPr>
            </w:pPr>
            <w:r w:rsidRPr="00DC5CB1">
              <w:rPr>
                <w:rFonts w:cs="Arial"/>
                <w:b/>
                <w:sz w:val="20"/>
                <w:szCs w:val="20"/>
              </w:rPr>
              <w:t>Comment:</w:t>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Yes </w:t>
            </w:r>
            <w:r w:rsidR="00BE5C1D" w:rsidRPr="00577DF5">
              <w:rPr>
                <w:rFonts w:cs="Arial"/>
                <w:sz w:val="20"/>
                <w:szCs w:val="20"/>
              </w:rPr>
              <w:fldChar w:fldCharType="begin">
                <w:ffData>
                  <w:name w:val=""/>
                  <w:enabled/>
                  <w:calcOnExit w:val="0"/>
                  <w:checkBox>
                    <w:size w:val="20"/>
                    <w:default w:val="0"/>
                  </w:checkBox>
                </w:ffData>
              </w:fldChar>
            </w:r>
            <w:r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sidRPr="00577DF5">
              <w:rPr>
                <w:rFonts w:cs="Arial"/>
                <w:sz w:val="20"/>
                <w:szCs w:val="20"/>
              </w:rPr>
              <w:fldChar w:fldCharType="end"/>
            </w:r>
          </w:p>
        </w:tc>
        <w:tc>
          <w:tcPr>
            <w:tcW w:w="992" w:type="dxa"/>
            <w:vAlign w:val="center"/>
          </w:tcPr>
          <w:p w:rsidR="00143E72" w:rsidRPr="00577DF5" w:rsidRDefault="00143E72" w:rsidP="00DF030A">
            <w:pPr>
              <w:jc w:val="center"/>
              <w:rPr>
                <w:rFonts w:cs="Arial"/>
                <w:b/>
                <w:sz w:val="20"/>
                <w:szCs w:val="20"/>
              </w:rPr>
            </w:pPr>
            <w:r w:rsidRPr="00577DF5">
              <w:rPr>
                <w:rFonts w:cs="Arial"/>
                <w:b/>
                <w:sz w:val="20"/>
                <w:szCs w:val="20"/>
              </w:rPr>
              <w:t xml:space="preserve">No </w:t>
            </w:r>
            <w:r w:rsidR="00BE5C1D">
              <w:rPr>
                <w:rFonts w:cs="Arial"/>
                <w:sz w:val="20"/>
                <w:szCs w:val="20"/>
              </w:rPr>
              <w:fldChar w:fldCharType="begin">
                <w:ffData>
                  <w:name w:val=""/>
                  <w:enabled/>
                  <w:calcOnExit w:val="0"/>
                  <w:checkBox>
                    <w:size w:val="20"/>
                    <w:default w:val="1"/>
                  </w:checkBox>
                </w:ffData>
              </w:fldChar>
            </w:r>
            <w:r>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00BE5C1D">
              <w:rPr>
                <w:rFonts w:cs="Arial"/>
                <w:sz w:val="20"/>
                <w:szCs w:val="20"/>
              </w:rPr>
              <w:fldChar w:fldCharType="end"/>
            </w:r>
          </w:p>
        </w:tc>
      </w:tr>
    </w:tbl>
    <w:p w:rsidR="00143E72" w:rsidRDefault="00143E72" w:rsidP="003E1780">
      <w:pPr>
        <w:rPr>
          <w:rFonts w:cs="Arial"/>
          <w:b/>
          <w:sz w:val="10"/>
          <w:szCs w:val="10"/>
          <w:u w:val="single"/>
        </w:rPr>
      </w:pPr>
    </w:p>
    <w:p w:rsidR="00143E72" w:rsidRDefault="00143E72" w:rsidP="003E1780">
      <w:pPr>
        <w:rPr>
          <w:rFonts w:cs="Arial"/>
          <w:b/>
          <w:sz w:val="10"/>
          <w:szCs w:val="10"/>
          <w:u w:val="single"/>
        </w:rPr>
      </w:pPr>
    </w:p>
    <w:p w:rsidR="00143E72" w:rsidRPr="00DB5CF8" w:rsidRDefault="00143E72" w:rsidP="003E1780">
      <w:pPr>
        <w:shd w:val="clear" w:color="auto" w:fill="808080"/>
        <w:spacing w:before="120" w:after="120"/>
        <w:rPr>
          <w:rFonts w:cs="Arial"/>
          <w:color w:val="FFFFFF"/>
          <w:sz w:val="26"/>
          <w:szCs w:val="26"/>
        </w:rPr>
      </w:pPr>
      <w:r>
        <w:rPr>
          <w:rFonts w:cs="Arial"/>
          <w:b/>
          <w:color w:val="FFFFFF"/>
          <w:sz w:val="26"/>
          <w:szCs w:val="26"/>
        </w:rPr>
        <w:t>Proposal assessment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7572"/>
        <w:gridCol w:w="106"/>
      </w:tblGrid>
      <w:tr w:rsidR="00143E72" w:rsidRPr="00004C7D" w:rsidTr="00DF030A">
        <w:trPr>
          <w:gridAfter w:val="1"/>
          <w:wAfter w:w="108" w:type="dxa"/>
          <w:jc w:val="center"/>
        </w:trPr>
        <w:tc>
          <w:tcPr>
            <w:tcW w:w="10490" w:type="dxa"/>
            <w:gridSpan w:val="2"/>
          </w:tcPr>
          <w:p w:rsidR="00143E72" w:rsidRPr="00004C7D" w:rsidRDefault="00143E72" w:rsidP="00DF030A">
            <w:pPr>
              <w:keepNext/>
              <w:spacing w:before="120" w:after="120"/>
              <w:rPr>
                <w:rFonts w:cs="Arial"/>
                <w:b/>
                <w:sz w:val="20"/>
                <w:szCs w:val="20"/>
              </w:rPr>
            </w:pPr>
            <w:r w:rsidRPr="00004C7D">
              <w:rPr>
                <w:rFonts w:cs="Arial"/>
                <w:b/>
                <w:sz w:val="20"/>
                <w:szCs w:val="20"/>
              </w:rPr>
              <w:t>STRATEGIC MERIT ASSESSMENT</w:t>
            </w: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t>Relevant regional strategy</w:t>
            </w:r>
          </w:p>
          <w:p w:rsidR="00143E72" w:rsidRPr="00DB5CF8" w:rsidRDefault="00143E72" w:rsidP="00DF030A">
            <w:pPr>
              <w:spacing w:before="60" w:after="60"/>
              <w:rPr>
                <w:rFonts w:cs="Arial"/>
                <w:bCs/>
                <w:color w:val="FF0000"/>
                <w:sz w:val="20"/>
                <w:szCs w:val="20"/>
              </w:rPr>
            </w:pPr>
          </w:p>
        </w:tc>
        <w:tc>
          <w:tcPr>
            <w:tcW w:w="7655" w:type="dxa"/>
            <w:vAlign w:val="center"/>
          </w:tcPr>
          <w:p w:rsidR="00143E72" w:rsidRPr="006C17F2" w:rsidRDefault="00143E72" w:rsidP="00DF030A">
            <w:pPr>
              <w:autoSpaceDE w:val="0"/>
              <w:autoSpaceDN w:val="0"/>
              <w:adjustRightInd w:val="0"/>
              <w:rPr>
                <w:rFonts w:cs="Arial"/>
                <w:sz w:val="20"/>
                <w:szCs w:val="20"/>
              </w:rPr>
            </w:pPr>
            <w:r w:rsidRPr="006C17F2">
              <w:rPr>
                <w:rFonts w:cs="Arial"/>
                <w:sz w:val="20"/>
                <w:szCs w:val="20"/>
              </w:rPr>
              <w:t>The Draft West Central Subregional Strategy identifies that Fairfield</w:t>
            </w:r>
            <w:r>
              <w:rPr>
                <w:rFonts w:cs="Arial"/>
                <w:sz w:val="20"/>
                <w:szCs w:val="20"/>
              </w:rPr>
              <w:t xml:space="preserve"> should </w:t>
            </w:r>
            <w:r w:rsidRPr="006C17F2">
              <w:rPr>
                <w:rFonts w:cs="Arial"/>
                <w:sz w:val="20"/>
                <w:szCs w:val="20"/>
              </w:rPr>
              <w:t xml:space="preserve">accommodate 24,000 dwellings and capacity for 15,000 new jobs by 2031. The draft Strategy requires that a mix of housing be located around centres, town centres, villages and neighbourhood centres (C2). </w:t>
            </w:r>
          </w:p>
          <w:p w:rsidR="00143E72" w:rsidRPr="006C17F2" w:rsidRDefault="00143E72" w:rsidP="00DF030A">
            <w:pPr>
              <w:autoSpaceDE w:val="0"/>
              <w:autoSpaceDN w:val="0"/>
              <w:adjustRightInd w:val="0"/>
              <w:rPr>
                <w:rFonts w:cs="Arial"/>
                <w:sz w:val="20"/>
                <w:szCs w:val="20"/>
              </w:rPr>
            </w:pPr>
          </w:p>
          <w:p w:rsidR="00143E72" w:rsidRPr="006C17F2" w:rsidRDefault="00143E72" w:rsidP="00DF030A">
            <w:pPr>
              <w:autoSpaceDE w:val="0"/>
              <w:autoSpaceDN w:val="0"/>
              <w:adjustRightInd w:val="0"/>
              <w:rPr>
                <w:rFonts w:cs="Arial"/>
                <w:sz w:val="20"/>
                <w:szCs w:val="20"/>
              </w:rPr>
            </w:pPr>
            <w:r w:rsidRPr="006C17F2">
              <w:rPr>
                <w:rFonts w:cs="Arial"/>
                <w:sz w:val="20"/>
                <w:szCs w:val="20"/>
              </w:rPr>
              <w:t>The draft Strategy identifies Fairfield Heights as a Small Village. Council, as part of its draft Fairfield Residential Development Strategy (FRDS), is seeking reclassification of Fairfield Heights as a Village. The FRDS also proposes the preparation of an Urban Renewal Master Plan for Fairfield Heights, to support the application for reclassification.</w:t>
            </w:r>
          </w:p>
          <w:p w:rsidR="00143E72" w:rsidRPr="00004C7D" w:rsidRDefault="00143E72" w:rsidP="00321133">
            <w:pPr>
              <w:autoSpaceDE w:val="0"/>
              <w:autoSpaceDN w:val="0"/>
              <w:adjustRightInd w:val="0"/>
              <w:rPr>
                <w:rFonts w:cs="Arial"/>
                <w:sz w:val="20"/>
                <w:szCs w:val="20"/>
              </w:rPr>
            </w:pP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t xml:space="preserve">Relevant local strategy </w:t>
            </w:r>
          </w:p>
          <w:p w:rsidR="00143E72" w:rsidRPr="00DB5CF8" w:rsidRDefault="00143E72" w:rsidP="00DF030A">
            <w:pPr>
              <w:spacing w:after="60"/>
              <w:rPr>
                <w:rFonts w:cs="Arial"/>
                <w:bCs/>
                <w:color w:val="FF0000"/>
                <w:sz w:val="20"/>
                <w:szCs w:val="20"/>
              </w:rPr>
            </w:pPr>
          </w:p>
        </w:tc>
        <w:tc>
          <w:tcPr>
            <w:tcW w:w="7655" w:type="dxa"/>
            <w:vAlign w:val="center"/>
          </w:tcPr>
          <w:p w:rsidR="00143E72" w:rsidRPr="006C17F2" w:rsidRDefault="00143E72" w:rsidP="00DF030A">
            <w:pPr>
              <w:autoSpaceDE w:val="0"/>
              <w:autoSpaceDN w:val="0"/>
              <w:adjustRightInd w:val="0"/>
              <w:rPr>
                <w:rFonts w:cs="Arial"/>
                <w:sz w:val="20"/>
                <w:szCs w:val="20"/>
              </w:rPr>
            </w:pPr>
            <w:r w:rsidRPr="006C17F2">
              <w:rPr>
                <w:rFonts w:cs="Arial"/>
                <w:sz w:val="20"/>
                <w:szCs w:val="20"/>
              </w:rPr>
              <w:lastRenderedPageBreak/>
              <w:t xml:space="preserve">The draft </w:t>
            </w:r>
            <w:r>
              <w:rPr>
                <w:rFonts w:cs="Arial"/>
                <w:sz w:val="20"/>
                <w:szCs w:val="20"/>
              </w:rPr>
              <w:t>Fairfield</w:t>
            </w:r>
            <w:r w:rsidRPr="006C17F2">
              <w:rPr>
                <w:rFonts w:cs="Arial"/>
                <w:sz w:val="20"/>
                <w:szCs w:val="20"/>
              </w:rPr>
              <w:t xml:space="preserve"> Residential Development Strategy </w:t>
            </w:r>
            <w:r>
              <w:rPr>
                <w:rFonts w:cs="Arial"/>
                <w:sz w:val="20"/>
                <w:szCs w:val="20"/>
              </w:rPr>
              <w:t xml:space="preserve">2009 (FRDS) </w:t>
            </w:r>
            <w:r w:rsidRPr="006C17F2">
              <w:rPr>
                <w:rFonts w:cs="Arial"/>
                <w:sz w:val="20"/>
                <w:szCs w:val="20"/>
              </w:rPr>
              <w:t xml:space="preserve">proposes a 100% increase in Fairfield Heights, in order to achieve at least 2,100 dwellings within a 600m </w:t>
            </w:r>
            <w:r w:rsidRPr="006C17F2">
              <w:rPr>
                <w:rFonts w:cs="Arial"/>
                <w:sz w:val="20"/>
                <w:szCs w:val="20"/>
              </w:rPr>
              <w:lastRenderedPageBreak/>
              <w:t>radius of the commercial core. Although the draft FRDS does not identify the subject site for high density residential, a key Structure Plan Principle within the FRDS is to “</w:t>
            </w:r>
            <w:r w:rsidRPr="00880385">
              <w:rPr>
                <w:rFonts w:cs="Arial"/>
                <w:i/>
                <w:sz w:val="20"/>
                <w:szCs w:val="20"/>
              </w:rPr>
              <w:t>Reinforce Polding Street as a key axis through provision of high density over the medium term</w:t>
            </w:r>
            <w:r>
              <w:rPr>
                <w:rFonts w:cs="Arial"/>
                <w:sz w:val="20"/>
                <w:szCs w:val="20"/>
              </w:rPr>
              <w:t>”</w:t>
            </w:r>
            <w:r w:rsidRPr="006C17F2">
              <w:rPr>
                <w:rFonts w:cs="Arial"/>
                <w:sz w:val="20"/>
                <w:szCs w:val="20"/>
              </w:rPr>
              <w:t>. In addition, the Strategy states that an Urban Renewal Master Plan for Fairfield Heights should incorporate the following consideration, being “</w:t>
            </w:r>
            <w:r w:rsidRPr="00880385">
              <w:rPr>
                <w:rFonts w:cs="Arial"/>
                <w:i/>
                <w:sz w:val="20"/>
                <w:szCs w:val="20"/>
              </w:rPr>
              <w:t>High density around the core should be considered in the medium along with a corridor of medium density towards Fairfield</w:t>
            </w:r>
            <w:r w:rsidRPr="006C17F2">
              <w:rPr>
                <w:rFonts w:cs="Arial"/>
                <w:sz w:val="20"/>
                <w:szCs w:val="20"/>
              </w:rPr>
              <w:t>”</w:t>
            </w:r>
            <w:r>
              <w:rPr>
                <w:rFonts w:cs="Arial"/>
                <w:sz w:val="20"/>
                <w:szCs w:val="20"/>
              </w:rPr>
              <w:t>.</w:t>
            </w:r>
          </w:p>
          <w:p w:rsidR="00143E72" w:rsidRPr="006C17F2" w:rsidRDefault="00143E72" w:rsidP="00DF030A">
            <w:pPr>
              <w:autoSpaceDE w:val="0"/>
              <w:autoSpaceDN w:val="0"/>
              <w:adjustRightInd w:val="0"/>
              <w:rPr>
                <w:rFonts w:cs="Arial"/>
                <w:sz w:val="20"/>
                <w:szCs w:val="20"/>
              </w:rPr>
            </w:pPr>
          </w:p>
          <w:p w:rsidR="00143E72" w:rsidRPr="00EC53C8" w:rsidRDefault="00143E72" w:rsidP="00DF030A">
            <w:pPr>
              <w:autoSpaceDE w:val="0"/>
              <w:autoSpaceDN w:val="0"/>
              <w:adjustRightInd w:val="0"/>
              <w:rPr>
                <w:rFonts w:cs="Arial"/>
                <w:sz w:val="20"/>
                <w:szCs w:val="20"/>
              </w:rPr>
            </w:pPr>
            <w:r w:rsidRPr="006C17F2">
              <w:rPr>
                <w:rFonts w:cs="Arial"/>
                <w:sz w:val="20"/>
                <w:szCs w:val="20"/>
              </w:rPr>
              <w:t xml:space="preserve">Council officers have previously advised the applicant (in September 2010) </w:t>
            </w:r>
            <w:r w:rsidR="00BD4102">
              <w:rPr>
                <w:rFonts w:cs="Arial"/>
                <w:sz w:val="20"/>
                <w:szCs w:val="20"/>
              </w:rPr>
              <w:t>that the site may be suitable for</w:t>
            </w:r>
            <w:r w:rsidRPr="006C17F2">
              <w:rPr>
                <w:rFonts w:cs="Arial"/>
                <w:sz w:val="20"/>
                <w:szCs w:val="20"/>
              </w:rPr>
              <w:t xml:space="preserve"> a higher form of residential development as it is consistent with the principles of the draft FRDS which seeks to provide additional density in and </w:t>
            </w:r>
            <w:r w:rsidRPr="00EC53C8">
              <w:rPr>
                <w:rFonts w:cs="Arial"/>
                <w:sz w:val="20"/>
                <w:szCs w:val="20"/>
              </w:rPr>
              <w:t>around existing centres.</w:t>
            </w:r>
          </w:p>
          <w:p w:rsidR="00143E72" w:rsidRPr="00EC53C8" w:rsidRDefault="00143E72" w:rsidP="00DF030A">
            <w:pPr>
              <w:autoSpaceDE w:val="0"/>
              <w:autoSpaceDN w:val="0"/>
              <w:adjustRightInd w:val="0"/>
              <w:rPr>
                <w:rFonts w:cs="Arial"/>
                <w:sz w:val="20"/>
                <w:szCs w:val="20"/>
              </w:rPr>
            </w:pPr>
          </w:p>
          <w:p w:rsidR="00143E72" w:rsidRDefault="00143E72" w:rsidP="00DF030A">
            <w:pPr>
              <w:autoSpaceDE w:val="0"/>
              <w:autoSpaceDN w:val="0"/>
              <w:adjustRightInd w:val="0"/>
              <w:rPr>
                <w:rFonts w:cs="Arial"/>
                <w:sz w:val="20"/>
                <w:szCs w:val="20"/>
              </w:rPr>
            </w:pPr>
            <w:r w:rsidRPr="00EC53C8">
              <w:rPr>
                <w:rFonts w:cs="Arial"/>
                <w:sz w:val="20"/>
                <w:szCs w:val="20"/>
              </w:rPr>
              <w:t>Although the draft FRDS Residential Development Strategy has not been adopted</w:t>
            </w:r>
            <w:r>
              <w:rPr>
                <w:rFonts w:cs="Arial"/>
                <w:sz w:val="20"/>
                <w:szCs w:val="20"/>
              </w:rPr>
              <w:t xml:space="preserve"> </w:t>
            </w:r>
            <w:r w:rsidR="00BD4102">
              <w:rPr>
                <w:rFonts w:cs="Arial"/>
                <w:sz w:val="20"/>
                <w:szCs w:val="20"/>
              </w:rPr>
              <w:t xml:space="preserve">by Council </w:t>
            </w:r>
            <w:r>
              <w:rPr>
                <w:rFonts w:cs="Arial"/>
                <w:sz w:val="20"/>
                <w:szCs w:val="20"/>
              </w:rPr>
              <w:t>to date</w:t>
            </w:r>
            <w:r w:rsidRPr="00EC53C8">
              <w:rPr>
                <w:rFonts w:cs="Arial"/>
                <w:sz w:val="20"/>
                <w:szCs w:val="20"/>
              </w:rPr>
              <w:t xml:space="preserve">, Council has confirmed that it is still their intention to apply for reclassification </w:t>
            </w:r>
            <w:r w:rsidR="001C2929">
              <w:rPr>
                <w:rFonts w:cs="Arial"/>
                <w:sz w:val="20"/>
                <w:szCs w:val="20"/>
              </w:rPr>
              <w:t xml:space="preserve">of Fairfield Heights as a </w:t>
            </w:r>
            <w:r w:rsidR="00BD4102">
              <w:rPr>
                <w:rFonts w:cs="Arial"/>
                <w:sz w:val="20"/>
                <w:szCs w:val="20"/>
              </w:rPr>
              <w:t>Village, however an application has not been prepared to date.</w:t>
            </w:r>
          </w:p>
          <w:p w:rsidR="00143E72" w:rsidRDefault="00143E72" w:rsidP="00DF030A">
            <w:pPr>
              <w:autoSpaceDE w:val="0"/>
              <w:autoSpaceDN w:val="0"/>
              <w:adjustRightInd w:val="0"/>
              <w:rPr>
                <w:rFonts w:cs="Arial"/>
                <w:sz w:val="20"/>
                <w:szCs w:val="20"/>
              </w:rPr>
            </w:pPr>
          </w:p>
          <w:p w:rsidR="00143E72" w:rsidRDefault="00143E72" w:rsidP="00DF030A">
            <w:pPr>
              <w:rPr>
                <w:rFonts w:cs="Arial"/>
                <w:sz w:val="20"/>
                <w:szCs w:val="20"/>
              </w:rPr>
            </w:pPr>
            <w:r>
              <w:rPr>
                <w:rFonts w:cs="Arial"/>
                <w:sz w:val="20"/>
                <w:szCs w:val="20"/>
              </w:rPr>
              <w:t xml:space="preserve">Council requested that the proponent prepare an </w:t>
            </w:r>
            <w:r w:rsidRPr="008C0061">
              <w:rPr>
                <w:rFonts w:cs="Arial"/>
                <w:sz w:val="20"/>
                <w:szCs w:val="20"/>
              </w:rPr>
              <w:t xml:space="preserve">Economic </w:t>
            </w:r>
            <w:r>
              <w:rPr>
                <w:rFonts w:cs="Arial"/>
                <w:sz w:val="20"/>
                <w:szCs w:val="20"/>
              </w:rPr>
              <w:t xml:space="preserve">Impact Statement after initial review of the planning proposal. The proponent submitted an Economic Capability Assessment (ECA), prepared by Don Fox Planning in July 2012 with Supplementary Advice in July 2013, which identified a projected demand for </w:t>
            </w:r>
            <w:r w:rsidRPr="008C0061">
              <w:rPr>
                <w:rFonts w:cs="Arial"/>
                <w:sz w:val="20"/>
                <w:szCs w:val="20"/>
              </w:rPr>
              <w:t>1000m2 of retail floorspace and 2500m2 of non-retail floorspace by 2016</w:t>
            </w:r>
            <w:r>
              <w:rPr>
                <w:rFonts w:cs="Arial"/>
                <w:sz w:val="20"/>
                <w:szCs w:val="20"/>
              </w:rPr>
              <w:t>. Council commissioned a</w:t>
            </w:r>
            <w:r w:rsidRPr="008C0061">
              <w:rPr>
                <w:rFonts w:cs="Arial"/>
                <w:sz w:val="20"/>
                <w:szCs w:val="20"/>
              </w:rPr>
              <w:t xml:space="preserve"> Peer Review </w:t>
            </w:r>
            <w:r>
              <w:rPr>
                <w:rFonts w:cs="Arial"/>
                <w:sz w:val="20"/>
                <w:szCs w:val="20"/>
              </w:rPr>
              <w:t xml:space="preserve">of the ECA </w:t>
            </w:r>
            <w:r w:rsidRPr="008C0061">
              <w:rPr>
                <w:rFonts w:cs="Arial"/>
                <w:sz w:val="20"/>
                <w:szCs w:val="20"/>
              </w:rPr>
              <w:t>(</w:t>
            </w:r>
            <w:r>
              <w:rPr>
                <w:rFonts w:cs="Arial"/>
                <w:sz w:val="20"/>
                <w:szCs w:val="20"/>
              </w:rPr>
              <w:t>prepared by Norling Consulting</w:t>
            </w:r>
            <w:r w:rsidRPr="008C0061">
              <w:rPr>
                <w:rFonts w:cs="Arial"/>
                <w:sz w:val="20"/>
                <w:szCs w:val="20"/>
              </w:rPr>
              <w:t xml:space="preserve">) </w:t>
            </w:r>
            <w:r>
              <w:rPr>
                <w:rFonts w:cs="Arial"/>
                <w:sz w:val="20"/>
                <w:szCs w:val="20"/>
              </w:rPr>
              <w:t xml:space="preserve">which </w:t>
            </w:r>
            <w:r w:rsidRPr="008C0061">
              <w:rPr>
                <w:rFonts w:cs="Arial"/>
                <w:sz w:val="20"/>
                <w:szCs w:val="20"/>
              </w:rPr>
              <w:t xml:space="preserve">found that the existing Fairfield Heights local </w:t>
            </w:r>
            <w:r>
              <w:rPr>
                <w:rFonts w:cs="Arial"/>
                <w:sz w:val="20"/>
                <w:szCs w:val="20"/>
              </w:rPr>
              <w:t>centre could support future demand (being 300m2 retail and 700m2 non-retail floorspace)</w:t>
            </w:r>
            <w:r w:rsidRPr="008C0061">
              <w:rPr>
                <w:rFonts w:cs="Arial"/>
                <w:sz w:val="20"/>
                <w:szCs w:val="20"/>
              </w:rPr>
              <w:t xml:space="preserve"> to include the rezoning of 133 Polding St</w:t>
            </w:r>
            <w:r>
              <w:rPr>
                <w:rFonts w:cs="Arial"/>
                <w:sz w:val="20"/>
                <w:szCs w:val="20"/>
              </w:rPr>
              <w:t xml:space="preserve"> as a mixed use development</w:t>
            </w:r>
            <w:r w:rsidRPr="008C0061">
              <w:rPr>
                <w:rFonts w:cs="Arial"/>
                <w:sz w:val="20"/>
                <w:szCs w:val="20"/>
              </w:rPr>
              <w:t xml:space="preserve">. </w:t>
            </w:r>
            <w:r>
              <w:rPr>
                <w:rFonts w:cs="Arial"/>
                <w:sz w:val="20"/>
                <w:szCs w:val="20"/>
              </w:rPr>
              <w:t>However, Don Fox Planning provided supplementary advice in July 2013 which confirmed the existing shortfall of commercial floorspace and found that the development of 131 Polding St could accommodate 300m2 of retail and 650m2 of non-retail floorspace.</w:t>
            </w:r>
          </w:p>
          <w:p w:rsidR="00143E72" w:rsidRDefault="00143E72" w:rsidP="00DF030A">
            <w:pPr>
              <w:rPr>
                <w:rFonts w:cs="Arial"/>
                <w:sz w:val="20"/>
                <w:szCs w:val="20"/>
              </w:rPr>
            </w:pPr>
          </w:p>
          <w:p w:rsidR="00143E72" w:rsidRDefault="00143E72" w:rsidP="00DF030A">
            <w:pPr>
              <w:rPr>
                <w:rFonts w:cs="Arial"/>
                <w:sz w:val="20"/>
                <w:szCs w:val="20"/>
              </w:rPr>
            </w:pPr>
            <w:r>
              <w:rPr>
                <w:rFonts w:cs="Arial"/>
                <w:sz w:val="20"/>
                <w:szCs w:val="20"/>
              </w:rPr>
              <w:t xml:space="preserve">The most recent comprehensive, Council-commissioned study of commercial land in Fairfield Heights is the 2005 </w:t>
            </w:r>
            <w:r w:rsidRPr="008C0061">
              <w:rPr>
                <w:rFonts w:cs="Arial"/>
                <w:sz w:val="20"/>
                <w:szCs w:val="20"/>
              </w:rPr>
              <w:t xml:space="preserve">Fairfield City Retail and Commercial Centres </w:t>
            </w:r>
            <w:r w:rsidR="005C6C49">
              <w:rPr>
                <w:rFonts w:cs="Arial"/>
                <w:sz w:val="20"/>
                <w:szCs w:val="20"/>
              </w:rPr>
              <w:t>Study</w:t>
            </w:r>
            <w:r>
              <w:rPr>
                <w:rFonts w:cs="Arial"/>
                <w:sz w:val="20"/>
                <w:szCs w:val="20"/>
              </w:rPr>
              <w:t xml:space="preserve">. </w:t>
            </w:r>
            <w:r w:rsidR="005C6C49">
              <w:rPr>
                <w:rFonts w:cs="Arial"/>
                <w:sz w:val="20"/>
                <w:szCs w:val="20"/>
              </w:rPr>
              <w:t>The study did not specifically review Fairfield Heights Local Centre</w:t>
            </w:r>
            <w:r w:rsidR="00BF1941">
              <w:rPr>
                <w:rFonts w:cs="Arial"/>
                <w:sz w:val="20"/>
                <w:szCs w:val="20"/>
              </w:rPr>
              <w:t>, other than recommending its classification as a Neighbourhood Centre</w:t>
            </w:r>
            <w:r w:rsidR="005C6C49">
              <w:rPr>
                <w:rFonts w:cs="Arial"/>
                <w:sz w:val="20"/>
                <w:szCs w:val="20"/>
              </w:rPr>
              <w:t xml:space="preserve">. </w:t>
            </w:r>
            <w:r w:rsidR="00BD4102">
              <w:rPr>
                <w:rFonts w:cs="Arial"/>
                <w:sz w:val="20"/>
                <w:szCs w:val="20"/>
              </w:rPr>
              <w:t xml:space="preserve">In October 2013 the Department’s Planning Reform Fund granted $100,000 to Council for preparation of a Retail and Commercial Centres </w:t>
            </w:r>
            <w:r w:rsidR="00BF1941">
              <w:rPr>
                <w:rFonts w:cs="Arial"/>
                <w:sz w:val="20"/>
                <w:szCs w:val="20"/>
              </w:rPr>
              <w:t>Study. The study will provide a framework for broader consideration of future proposals for the expansion of commercially zoned land.</w:t>
            </w:r>
          </w:p>
          <w:p w:rsidR="00143E72" w:rsidRPr="00955BAD" w:rsidRDefault="00143E72" w:rsidP="00DF030A">
            <w:pPr>
              <w:rPr>
                <w:rFonts w:ascii="Tahoma" w:hAnsi="Tahoma" w:cs="Tahoma"/>
              </w:rPr>
            </w:pP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lastRenderedPageBreak/>
              <w:t xml:space="preserve">Relevant s117 Directions </w:t>
            </w:r>
          </w:p>
        </w:tc>
        <w:tc>
          <w:tcPr>
            <w:tcW w:w="7655" w:type="dxa"/>
            <w:vAlign w:val="center"/>
          </w:tcPr>
          <w:p w:rsidR="00143E72" w:rsidRPr="00412CDC" w:rsidRDefault="00143E72" w:rsidP="00DF030A">
            <w:pPr>
              <w:rPr>
                <w:rFonts w:cs="Arial"/>
                <w:b/>
                <w:sz w:val="20"/>
                <w:szCs w:val="20"/>
              </w:rPr>
            </w:pPr>
            <w:r w:rsidRPr="00412CDC">
              <w:rPr>
                <w:rFonts w:cs="Arial"/>
                <w:b/>
                <w:sz w:val="20"/>
                <w:szCs w:val="20"/>
              </w:rPr>
              <w:t>Direction 1.1 - Business and Industrial Zones</w:t>
            </w:r>
          </w:p>
          <w:p w:rsidR="00143E72" w:rsidRDefault="00143E72" w:rsidP="00DF030A">
            <w:pPr>
              <w:rPr>
                <w:rFonts w:cs="Arial"/>
                <w:sz w:val="20"/>
                <w:szCs w:val="20"/>
              </w:rPr>
            </w:pPr>
            <w:r>
              <w:rPr>
                <w:rFonts w:cs="Arial"/>
                <w:sz w:val="20"/>
                <w:szCs w:val="20"/>
              </w:rPr>
              <w:t>The proposal is consistent with the objectives of Direction 1.1, as it:</w:t>
            </w:r>
          </w:p>
          <w:p w:rsidR="00143E72" w:rsidRDefault="00143E72" w:rsidP="003E1780">
            <w:pPr>
              <w:numPr>
                <w:ilvl w:val="0"/>
                <w:numId w:val="21"/>
              </w:numPr>
              <w:rPr>
                <w:rFonts w:cs="Arial"/>
                <w:sz w:val="20"/>
                <w:szCs w:val="20"/>
              </w:rPr>
            </w:pPr>
            <w:r>
              <w:rPr>
                <w:rFonts w:cs="Arial"/>
                <w:sz w:val="20"/>
                <w:szCs w:val="20"/>
              </w:rPr>
              <w:t>encourages employment growth in suitable locations, next to an existing business zone)</w:t>
            </w:r>
          </w:p>
          <w:p w:rsidR="00143E72" w:rsidRDefault="00143E72" w:rsidP="003E1780">
            <w:pPr>
              <w:numPr>
                <w:ilvl w:val="0"/>
                <w:numId w:val="21"/>
              </w:numPr>
              <w:rPr>
                <w:rFonts w:cs="Arial"/>
                <w:sz w:val="20"/>
                <w:szCs w:val="20"/>
              </w:rPr>
            </w:pPr>
            <w:r>
              <w:rPr>
                <w:rFonts w:cs="Arial"/>
                <w:sz w:val="20"/>
                <w:szCs w:val="20"/>
              </w:rPr>
              <w:t>protects employment land in busin</w:t>
            </w:r>
            <w:r w:rsidR="007A52F4">
              <w:rPr>
                <w:rFonts w:cs="Arial"/>
                <w:sz w:val="20"/>
                <w:szCs w:val="20"/>
              </w:rPr>
              <w:t xml:space="preserve">ess and industrial zones by </w:t>
            </w:r>
            <w:r>
              <w:rPr>
                <w:rFonts w:cs="Arial"/>
                <w:sz w:val="20"/>
                <w:szCs w:val="20"/>
              </w:rPr>
              <w:t>retaining the existing business zone</w:t>
            </w:r>
          </w:p>
          <w:p w:rsidR="00143E72" w:rsidRDefault="00143E72" w:rsidP="003E1780">
            <w:pPr>
              <w:numPr>
                <w:ilvl w:val="0"/>
                <w:numId w:val="21"/>
              </w:numPr>
              <w:rPr>
                <w:rFonts w:cs="Arial"/>
                <w:sz w:val="20"/>
                <w:szCs w:val="20"/>
              </w:rPr>
            </w:pPr>
            <w:r>
              <w:rPr>
                <w:rFonts w:cs="Arial"/>
                <w:sz w:val="20"/>
                <w:szCs w:val="20"/>
              </w:rPr>
              <w:t>supports the viability of identified strategic centres, as the increase in commercial floorspace is minor and is unlikely to affect the viability to Fairfield Heights local centre as a whole.</w:t>
            </w:r>
          </w:p>
          <w:p w:rsidR="00143E72" w:rsidRDefault="00143E72" w:rsidP="00DF030A">
            <w:pPr>
              <w:ind w:left="461"/>
              <w:rPr>
                <w:rFonts w:cs="Arial"/>
                <w:sz w:val="20"/>
                <w:szCs w:val="20"/>
              </w:rPr>
            </w:pPr>
          </w:p>
          <w:p w:rsidR="00143E72" w:rsidRPr="008C0061" w:rsidRDefault="00143E72" w:rsidP="00DF030A">
            <w:pPr>
              <w:rPr>
                <w:rFonts w:cs="Arial"/>
                <w:sz w:val="20"/>
                <w:szCs w:val="20"/>
              </w:rPr>
            </w:pPr>
            <w:r>
              <w:rPr>
                <w:rFonts w:cs="Arial"/>
                <w:sz w:val="20"/>
                <w:szCs w:val="20"/>
              </w:rPr>
              <w:t xml:space="preserve">The proposal is inconsistent with Direction 1.1 (4)(e) as the proposed new employment area is not in accordance with a strategy that is approved by the Director General. It is considered that the proposal, should it proceed as mixed use development, is permitted to be inconsistent with the terms of the direction as it is justified by a study (Economic Capability Statement prepared by Don Fox Planning, and Supplementary Advice) which gives consideration to the objectives of this direction. However, it is noted that Fairfield Council </w:t>
            </w:r>
            <w:r w:rsidRPr="008C0061">
              <w:rPr>
                <w:rFonts w:cs="Arial"/>
                <w:sz w:val="20"/>
                <w:szCs w:val="20"/>
              </w:rPr>
              <w:t>has stated its intention to review the 2005 Fairfield City Retail and Commercial Centres Policy.</w:t>
            </w:r>
            <w:r>
              <w:rPr>
                <w:rFonts w:cs="Arial"/>
                <w:sz w:val="20"/>
                <w:szCs w:val="20"/>
              </w:rPr>
              <w:t xml:space="preserve"> Should the reviewed Policy support the rezoning of additional sites adjunct to the existing local centre, the proposal would then be consistent with Direction 1.1 (4) (e).</w:t>
            </w:r>
          </w:p>
          <w:p w:rsidR="00143E72" w:rsidRDefault="00143E72" w:rsidP="00DF030A">
            <w:pPr>
              <w:ind w:left="360"/>
              <w:rPr>
                <w:rFonts w:cs="Arial"/>
                <w:sz w:val="20"/>
                <w:szCs w:val="20"/>
              </w:rPr>
            </w:pPr>
          </w:p>
          <w:p w:rsidR="00143E72" w:rsidRPr="00412CDC" w:rsidRDefault="00143E72" w:rsidP="00DF030A">
            <w:pPr>
              <w:rPr>
                <w:rFonts w:cs="Arial"/>
                <w:b/>
                <w:sz w:val="20"/>
                <w:szCs w:val="20"/>
              </w:rPr>
            </w:pPr>
            <w:r w:rsidRPr="00412CDC">
              <w:rPr>
                <w:rFonts w:cs="Arial"/>
                <w:b/>
                <w:sz w:val="20"/>
                <w:szCs w:val="20"/>
              </w:rPr>
              <w:t>Direction 3.1 - Residential Zones</w:t>
            </w:r>
          </w:p>
          <w:p w:rsidR="00143E72" w:rsidRDefault="00143E72" w:rsidP="00DF030A">
            <w:pPr>
              <w:ind w:left="720" w:hanging="720"/>
              <w:rPr>
                <w:rFonts w:cs="Arial"/>
                <w:sz w:val="20"/>
                <w:szCs w:val="20"/>
              </w:rPr>
            </w:pPr>
            <w:r>
              <w:rPr>
                <w:rFonts w:cs="Arial"/>
                <w:sz w:val="20"/>
                <w:szCs w:val="20"/>
              </w:rPr>
              <w:t>The proposal is consistent with the objectives of Direction 3.1, as it:</w:t>
            </w:r>
          </w:p>
          <w:p w:rsidR="00143E72" w:rsidRDefault="00143E72" w:rsidP="00DF030A">
            <w:pPr>
              <w:ind w:left="720" w:hanging="720"/>
              <w:rPr>
                <w:rFonts w:cs="Arial"/>
                <w:sz w:val="20"/>
                <w:szCs w:val="20"/>
              </w:rPr>
            </w:pPr>
          </w:p>
          <w:p w:rsidR="00143E72" w:rsidRDefault="00143E72" w:rsidP="003E1780">
            <w:pPr>
              <w:numPr>
                <w:ilvl w:val="0"/>
                <w:numId w:val="23"/>
              </w:numPr>
              <w:rPr>
                <w:rFonts w:cs="Arial"/>
                <w:sz w:val="20"/>
                <w:szCs w:val="20"/>
              </w:rPr>
            </w:pPr>
            <w:r>
              <w:rPr>
                <w:rFonts w:cs="Arial"/>
                <w:sz w:val="20"/>
                <w:szCs w:val="20"/>
              </w:rPr>
              <w:t>encourages a variety and choice of housing types to provide for existing  and future housing needs, through providing additional housing in an existing residential zone</w:t>
            </w:r>
          </w:p>
          <w:p w:rsidR="00143E72" w:rsidRDefault="00143E72" w:rsidP="003E1780">
            <w:pPr>
              <w:numPr>
                <w:ilvl w:val="0"/>
                <w:numId w:val="23"/>
              </w:numPr>
              <w:rPr>
                <w:rFonts w:cs="Arial"/>
                <w:sz w:val="20"/>
                <w:szCs w:val="20"/>
              </w:rPr>
            </w:pPr>
            <w:r>
              <w:rPr>
                <w:rFonts w:cs="Arial"/>
                <w:sz w:val="20"/>
                <w:szCs w:val="20"/>
              </w:rPr>
              <w:t xml:space="preserve">makes efficient use of existing infrastructure and services and ensures that new </w:t>
            </w:r>
            <w:r>
              <w:rPr>
                <w:rFonts w:cs="Arial"/>
                <w:sz w:val="20"/>
                <w:szCs w:val="20"/>
              </w:rPr>
              <w:lastRenderedPageBreak/>
              <w:t>housing has appropriate access to infrastructure and services, through being located close to bus and train transport, and the M4 and M7 and being located in an existing residential, serviced area.</w:t>
            </w:r>
          </w:p>
          <w:p w:rsidR="00143E72" w:rsidRDefault="00143E72" w:rsidP="003E1780">
            <w:pPr>
              <w:numPr>
                <w:ilvl w:val="0"/>
                <w:numId w:val="23"/>
              </w:numPr>
              <w:rPr>
                <w:rFonts w:cs="Arial"/>
                <w:sz w:val="20"/>
                <w:szCs w:val="20"/>
              </w:rPr>
            </w:pPr>
            <w:r>
              <w:rPr>
                <w:rFonts w:cs="Arial"/>
                <w:sz w:val="20"/>
                <w:szCs w:val="20"/>
              </w:rPr>
              <w:t>Minimises the impact of residential development on the environment and resource lands as it is located within an existing medium density residential zone.</w:t>
            </w:r>
          </w:p>
          <w:p w:rsidR="00143E72" w:rsidRDefault="00143E72" w:rsidP="00DF030A">
            <w:pPr>
              <w:rPr>
                <w:rFonts w:cs="Arial"/>
                <w:sz w:val="20"/>
                <w:szCs w:val="20"/>
              </w:rPr>
            </w:pPr>
          </w:p>
          <w:p w:rsidR="00143E72" w:rsidRPr="002B4ACF" w:rsidRDefault="00143E72" w:rsidP="00DF030A">
            <w:pPr>
              <w:rPr>
                <w:rFonts w:cs="Arial"/>
                <w:b/>
                <w:sz w:val="20"/>
                <w:szCs w:val="20"/>
              </w:rPr>
            </w:pPr>
            <w:r w:rsidRPr="002B4ACF">
              <w:rPr>
                <w:rFonts w:cs="Arial"/>
                <w:b/>
                <w:sz w:val="20"/>
                <w:szCs w:val="20"/>
              </w:rPr>
              <w:t>Direction 3.4 - Integrating Land Use and Transport</w:t>
            </w:r>
          </w:p>
          <w:p w:rsidR="00143E72" w:rsidRDefault="00143E72" w:rsidP="00DF030A">
            <w:pPr>
              <w:rPr>
                <w:rFonts w:cs="Arial"/>
                <w:sz w:val="20"/>
                <w:szCs w:val="20"/>
              </w:rPr>
            </w:pPr>
            <w:r>
              <w:rPr>
                <w:rFonts w:cs="Arial"/>
                <w:sz w:val="20"/>
                <w:szCs w:val="20"/>
              </w:rPr>
              <w:t>The proposal is consistent with Direction 3.4, as it:</w:t>
            </w:r>
          </w:p>
          <w:p w:rsidR="00143E72" w:rsidRDefault="00143E72" w:rsidP="00DF030A">
            <w:pPr>
              <w:rPr>
                <w:rFonts w:cs="Arial"/>
                <w:sz w:val="20"/>
                <w:szCs w:val="20"/>
              </w:rPr>
            </w:pPr>
          </w:p>
          <w:p w:rsidR="00143E72" w:rsidRDefault="00143E72" w:rsidP="003E1780">
            <w:pPr>
              <w:numPr>
                <w:ilvl w:val="0"/>
                <w:numId w:val="24"/>
              </w:numPr>
              <w:rPr>
                <w:rFonts w:cs="Arial"/>
                <w:sz w:val="20"/>
                <w:szCs w:val="20"/>
              </w:rPr>
            </w:pPr>
            <w:r>
              <w:rPr>
                <w:rFonts w:cs="Arial"/>
                <w:sz w:val="20"/>
                <w:szCs w:val="20"/>
              </w:rPr>
              <w:t>Improves access to housing, jobs and services by walking cycling and public transport, through being located next to an existing business zone and close to bus and train transport.</w:t>
            </w:r>
          </w:p>
          <w:p w:rsidR="00143E72" w:rsidRDefault="00143E72" w:rsidP="003E1780">
            <w:pPr>
              <w:numPr>
                <w:ilvl w:val="0"/>
                <w:numId w:val="24"/>
              </w:numPr>
              <w:rPr>
                <w:rFonts w:cs="Arial"/>
                <w:sz w:val="20"/>
                <w:szCs w:val="20"/>
              </w:rPr>
            </w:pPr>
            <w:r>
              <w:rPr>
                <w:rFonts w:cs="Arial"/>
                <w:sz w:val="20"/>
                <w:szCs w:val="20"/>
              </w:rPr>
              <w:t>Increases the choice of available transport and reduces dependence on cars, through being located close to bus and train transport</w:t>
            </w:r>
          </w:p>
          <w:p w:rsidR="00143E72" w:rsidRDefault="00143E72" w:rsidP="003E1780">
            <w:pPr>
              <w:numPr>
                <w:ilvl w:val="0"/>
                <w:numId w:val="24"/>
              </w:numPr>
              <w:rPr>
                <w:rFonts w:cs="Arial"/>
                <w:sz w:val="20"/>
                <w:szCs w:val="20"/>
              </w:rPr>
            </w:pPr>
            <w:r>
              <w:rPr>
                <w:rFonts w:cs="Arial"/>
                <w:sz w:val="20"/>
                <w:szCs w:val="20"/>
              </w:rPr>
              <w:t>Reduces travel demand including the number of trips generated by development and the distances travelled, especially by car, through being located close to bus and train transport and being next to an existing business zone</w:t>
            </w:r>
          </w:p>
          <w:p w:rsidR="00143E72" w:rsidRDefault="00143E72" w:rsidP="003E1780">
            <w:pPr>
              <w:numPr>
                <w:ilvl w:val="0"/>
                <w:numId w:val="24"/>
              </w:numPr>
              <w:rPr>
                <w:rFonts w:cs="Arial"/>
                <w:sz w:val="20"/>
                <w:szCs w:val="20"/>
              </w:rPr>
            </w:pPr>
            <w:r>
              <w:rPr>
                <w:rFonts w:cs="Arial"/>
                <w:sz w:val="20"/>
                <w:szCs w:val="20"/>
              </w:rPr>
              <w:t>Supports the efficient and viable operation of public transport services by being located close to bus and train transport</w:t>
            </w:r>
          </w:p>
          <w:p w:rsidR="00143E72" w:rsidRDefault="00143E72" w:rsidP="003E1780">
            <w:pPr>
              <w:numPr>
                <w:ilvl w:val="0"/>
                <w:numId w:val="24"/>
              </w:numPr>
              <w:rPr>
                <w:rFonts w:cs="Arial"/>
                <w:sz w:val="20"/>
                <w:szCs w:val="20"/>
              </w:rPr>
            </w:pPr>
            <w:r>
              <w:rPr>
                <w:rFonts w:cs="Arial"/>
                <w:sz w:val="20"/>
                <w:szCs w:val="20"/>
              </w:rPr>
              <w:t>Provides for the efficient movement of freight, as the location of the site and minor increase in traffic movement would not impact on freight movement.</w:t>
            </w:r>
          </w:p>
          <w:p w:rsidR="00143E72" w:rsidRPr="006C17F2" w:rsidRDefault="00143E72" w:rsidP="00DF030A">
            <w:pPr>
              <w:rPr>
                <w:rFonts w:cs="Arial"/>
                <w:sz w:val="20"/>
                <w:szCs w:val="20"/>
              </w:rPr>
            </w:pPr>
          </w:p>
          <w:p w:rsidR="00143E72" w:rsidRPr="009526A1" w:rsidRDefault="00143E72" w:rsidP="00DF030A">
            <w:pPr>
              <w:rPr>
                <w:rFonts w:cs="Arial"/>
                <w:b/>
                <w:sz w:val="20"/>
                <w:szCs w:val="20"/>
              </w:rPr>
            </w:pPr>
            <w:r w:rsidRPr="009526A1">
              <w:rPr>
                <w:rFonts w:cs="Arial"/>
                <w:b/>
                <w:sz w:val="20"/>
                <w:szCs w:val="20"/>
              </w:rPr>
              <w:t xml:space="preserve">Direction 7.1 - Implementation of the Metropolitan </w:t>
            </w:r>
            <w:r>
              <w:rPr>
                <w:rFonts w:cs="Arial"/>
                <w:b/>
                <w:sz w:val="20"/>
                <w:szCs w:val="20"/>
              </w:rPr>
              <w:t>Plan for Sydney 2036</w:t>
            </w:r>
          </w:p>
          <w:p w:rsidR="00143E72" w:rsidRPr="007D5128" w:rsidRDefault="00143E72" w:rsidP="00DF030A">
            <w:pPr>
              <w:autoSpaceDE w:val="0"/>
              <w:autoSpaceDN w:val="0"/>
              <w:adjustRightInd w:val="0"/>
              <w:rPr>
                <w:rFonts w:cs="Arial"/>
                <w:sz w:val="20"/>
                <w:szCs w:val="20"/>
              </w:rPr>
            </w:pPr>
            <w:r>
              <w:rPr>
                <w:rFonts w:cs="Arial"/>
                <w:sz w:val="20"/>
                <w:szCs w:val="20"/>
              </w:rPr>
              <w:t xml:space="preserve">The proposal is considered to be consistent with Direction 7.1. The additional housing will contribute to the dwelling targets of 96,000 by 2036 in the West Central subregion. The commercial area would assist in reducing the high 10.6% Fairfield LGA unemployment rate. </w:t>
            </w:r>
            <w:r w:rsidRPr="007D5128">
              <w:rPr>
                <w:rFonts w:cs="Arial"/>
                <w:sz w:val="20"/>
                <w:szCs w:val="20"/>
              </w:rPr>
              <w:t>The proposal supports a key aim of the 2036 Metropolitan Plan</w:t>
            </w:r>
            <w:r>
              <w:rPr>
                <w:rFonts w:cs="Arial"/>
                <w:sz w:val="20"/>
                <w:szCs w:val="20"/>
              </w:rPr>
              <w:t>, being the</w:t>
            </w:r>
            <w:r w:rsidRPr="007D5128">
              <w:rPr>
                <w:rFonts w:cs="Arial"/>
                <w:sz w:val="20"/>
                <w:szCs w:val="20"/>
              </w:rPr>
              <w:t xml:space="preserve"> locat</w:t>
            </w:r>
            <w:r>
              <w:rPr>
                <w:rFonts w:cs="Arial"/>
                <w:sz w:val="20"/>
                <w:szCs w:val="20"/>
              </w:rPr>
              <w:t>ion of</w:t>
            </w:r>
            <w:r w:rsidRPr="007D5128">
              <w:rPr>
                <w:rFonts w:cs="Arial"/>
                <w:sz w:val="20"/>
                <w:szCs w:val="20"/>
              </w:rPr>
              <w:t xml:space="preserve"> 80% </w:t>
            </w:r>
            <w:r>
              <w:rPr>
                <w:rFonts w:cs="Arial"/>
                <w:sz w:val="20"/>
                <w:szCs w:val="20"/>
              </w:rPr>
              <w:t xml:space="preserve">of </w:t>
            </w:r>
            <w:r w:rsidRPr="007D5128">
              <w:rPr>
                <w:rFonts w:cs="Arial"/>
                <w:sz w:val="20"/>
                <w:szCs w:val="20"/>
              </w:rPr>
              <w:t xml:space="preserve">new housing within walking distance of centres with good public transport. </w:t>
            </w:r>
          </w:p>
          <w:p w:rsidR="00143E72" w:rsidRPr="00004C7D" w:rsidRDefault="00143E72" w:rsidP="00DF030A">
            <w:pPr>
              <w:rPr>
                <w:rFonts w:cs="Arial"/>
                <w:sz w:val="20"/>
                <w:szCs w:val="20"/>
              </w:rPr>
            </w:pP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lastRenderedPageBreak/>
              <w:t xml:space="preserve">Additional supporting information provided </w:t>
            </w:r>
          </w:p>
        </w:tc>
        <w:tc>
          <w:tcPr>
            <w:tcW w:w="7655" w:type="dxa"/>
            <w:vAlign w:val="center"/>
          </w:tcPr>
          <w:p w:rsidR="00143E72" w:rsidRPr="009F1E70" w:rsidRDefault="00143E72" w:rsidP="00DF030A">
            <w:pPr>
              <w:rPr>
                <w:rFonts w:cs="Arial"/>
                <w:b/>
                <w:sz w:val="20"/>
                <w:szCs w:val="20"/>
              </w:rPr>
            </w:pPr>
            <w:r w:rsidRPr="009F1E70">
              <w:rPr>
                <w:rFonts w:cs="Arial"/>
                <w:b/>
                <w:sz w:val="20"/>
                <w:szCs w:val="20"/>
              </w:rPr>
              <w:t>Draft Metropolitan Strategy</w:t>
            </w:r>
          </w:p>
          <w:p w:rsidR="00143E72" w:rsidRPr="007D5128" w:rsidRDefault="00143E72" w:rsidP="00DF030A">
            <w:pPr>
              <w:autoSpaceDE w:val="0"/>
              <w:autoSpaceDN w:val="0"/>
              <w:adjustRightInd w:val="0"/>
              <w:rPr>
                <w:rFonts w:cs="Arial"/>
                <w:sz w:val="20"/>
                <w:szCs w:val="20"/>
              </w:rPr>
            </w:pPr>
            <w:r>
              <w:rPr>
                <w:rFonts w:cs="Arial"/>
                <w:sz w:val="20"/>
                <w:szCs w:val="20"/>
              </w:rPr>
              <w:t>The proposal is considered to be consistent with the draft Metropolitan Strategy. The additional housing will contribute to the dwelling targets of 60,000 by 2021 and 141,000 by 2031 in the South West subregion, providing housing choice and integrating with infrastructure and transport. The site would be incorporated into the existing Fairfield Heights local centre and would provide additional capacity for retail, if required (Objective 15).</w:t>
            </w:r>
          </w:p>
          <w:p w:rsidR="00143E72" w:rsidRDefault="00143E72" w:rsidP="00DF030A">
            <w:pPr>
              <w:rPr>
                <w:rFonts w:cs="Arial"/>
                <w:sz w:val="20"/>
                <w:szCs w:val="20"/>
              </w:rPr>
            </w:pPr>
          </w:p>
          <w:p w:rsidR="00143E72" w:rsidRPr="003B703D" w:rsidRDefault="00143E72" w:rsidP="00DF030A">
            <w:pPr>
              <w:rPr>
                <w:rFonts w:cs="Arial"/>
                <w:b/>
                <w:sz w:val="20"/>
                <w:szCs w:val="20"/>
              </w:rPr>
            </w:pPr>
            <w:r w:rsidRPr="003B703D">
              <w:rPr>
                <w:rFonts w:cs="Arial"/>
                <w:b/>
                <w:sz w:val="20"/>
                <w:szCs w:val="20"/>
              </w:rPr>
              <w:t>SEPP No. 65 – Design Quality of Residential Development</w:t>
            </w:r>
          </w:p>
          <w:p w:rsidR="00143E72" w:rsidRPr="00C1271F" w:rsidRDefault="00143E72" w:rsidP="00DF030A">
            <w:pPr>
              <w:autoSpaceDE w:val="0"/>
              <w:autoSpaceDN w:val="0"/>
              <w:adjustRightInd w:val="0"/>
              <w:rPr>
                <w:rFonts w:cs="Arial"/>
                <w:sz w:val="20"/>
                <w:szCs w:val="20"/>
              </w:rPr>
            </w:pPr>
            <w:r w:rsidRPr="00C1271F">
              <w:rPr>
                <w:rFonts w:cs="Arial"/>
                <w:sz w:val="20"/>
                <w:szCs w:val="20"/>
              </w:rPr>
              <w:t>SEPP No. 65 requires considerati</w:t>
            </w:r>
            <w:r>
              <w:rPr>
                <w:rFonts w:cs="Arial"/>
                <w:sz w:val="20"/>
                <w:szCs w:val="20"/>
              </w:rPr>
              <w:t xml:space="preserve">on of a range of design quality principles. </w:t>
            </w:r>
            <w:r w:rsidRPr="00C1271F">
              <w:rPr>
                <w:rFonts w:cs="Arial"/>
                <w:sz w:val="20"/>
                <w:szCs w:val="20"/>
              </w:rPr>
              <w:t>The future development of the site will be the subject of assessment</w:t>
            </w:r>
            <w:r>
              <w:rPr>
                <w:rFonts w:cs="Arial"/>
                <w:sz w:val="20"/>
                <w:szCs w:val="20"/>
              </w:rPr>
              <w:t xml:space="preserve"> </w:t>
            </w:r>
            <w:r w:rsidRPr="00C1271F">
              <w:rPr>
                <w:rFonts w:cs="Arial"/>
                <w:sz w:val="20"/>
                <w:szCs w:val="20"/>
              </w:rPr>
              <w:t>pursuant to the provisions of Section 79</w:t>
            </w:r>
            <w:r>
              <w:rPr>
                <w:rFonts w:cs="Arial"/>
                <w:sz w:val="20"/>
                <w:szCs w:val="20"/>
              </w:rPr>
              <w:t xml:space="preserve">C of the Environmental Planning </w:t>
            </w:r>
            <w:r w:rsidRPr="00C1271F">
              <w:rPr>
                <w:rFonts w:cs="Arial"/>
                <w:sz w:val="20"/>
                <w:szCs w:val="20"/>
              </w:rPr>
              <w:t>and Assessment Act 1979 and subject to controls under Council’s Development Control Plan for Fairfield Hei</w:t>
            </w:r>
            <w:r>
              <w:rPr>
                <w:rFonts w:cs="Arial"/>
                <w:sz w:val="20"/>
                <w:szCs w:val="20"/>
              </w:rPr>
              <w:t xml:space="preserve">ghts. It is therefore considered that the </w:t>
            </w:r>
            <w:r w:rsidRPr="00C1271F">
              <w:rPr>
                <w:rFonts w:cs="Arial"/>
                <w:sz w:val="20"/>
                <w:szCs w:val="20"/>
              </w:rPr>
              <w:t xml:space="preserve">proposal will </w:t>
            </w:r>
            <w:r>
              <w:rPr>
                <w:rFonts w:cs="Arial"/>
                <w:sz w:val="20"/>
                <w:szCs w:val="20"/>
              </w:rPr>
              <w:t>conform to the requirements of SEPP No. 65 during the planning proposal process.</w:t>
            </w:r>
          </w:p>
          <w:p w:rsidR="00143E72" w:rsidRPr="00004C7D" w:rsidRDefault="00143E72" w:rsidP="00DF030A">
            <w:pPr>
              <w:rPr>
                <w:rFonts w:cs="Arial"/>
                <w:sz w:val="20"/>
                <w:szCs w:val="20"/>
              </w:rPr>
            </w:pPr>
          </w:p>
        </w:tc>
      </w:tr>
      <w:tr w:rsidR="00143E72" w:rsidRPr="00004C7D" w:rsidTr="00DF030A">
        <w:trPr>
          <w:gridAfter w:val="1"/>
          <w:wAfter w:w="108" w:type="dxa"/>
          <w:jc w:val="center"/>
        </w:trPr>
        <w:tc>
          <w:tcPr>
            <w:tcW w:w="2835" w:type="dxa"/>
            <w:tcBorders>
              <w:left w:val="nil"/>
              <w:right w:val="nil"/>
            </w:tcBorders>
          </w:tcPr>
          <w:p w:rsidR="00143E72" w:rsidRPr="00004C7D" w:rsidRDefault="00143E72" w:rsidP="00DF030A">
            <w:pPr>
              <w:rPr>
                <w:rFonts w:cs="Arial"/>
                <w:b/>
                <w:sz w:val="20"/>
                <w:szCs w:val="20"/>
              </w:rPr>
            </w:pPr>
          </w:p>
        </w:tc>
        <w:tc>
          <w:tcPr>
            <w:tcW w:w="7655" w:type="dxa"/>
            <w:tcBorders>
              <w:left w:val="nil"/>
              <w:right w:val="nil"/>
            </w:tcBorders>
          </w:tcPr>
          <w:p w:rsidR="00143E72" w:rsidRPr="00004C7D" w:rsidRDefault="00143E72" w:rsidP="00DF030A">
            <w:pPr>
              <w:rPr>
                <w:rFonts w:cs="Arial"/>
                <w:b/>
                <w:sz w:val="20"/>
                <w:szCs w:val="20"/>
              </w:rPr>
            </w:pPr>
          </w:p>
        </w:tc>
      </w:tr>
      <w:tr w:rsidR="00143E72" w:rsidRPr="00004C7D" w:rsidTr="00DF030A">
        <w:trPr>
          <w:gridAfter w:val="1"/>
          <w:wAfter w:w="108" w:type="dxa"/>
          <w:jc w:val="center"/>
        </w:trPr>
        <w:tc>
          <w:tcPr>
            <w:tcW w:w="10490" w:type="dxa"/>
            <w:gridSpan w:val="2"/>
          </w:tcPr>
          <w:p w:rsidR="00143E72" w:rsidRPr="00004C7D" w:rsidRDefault="00143E72" w:rsidP="00DF030A">
            <w:pPr>
              <w:keepNext/>
              <w:spacing w:before="120" w:after="120"/>
              <w:rPr>
                <w:rFonts w:cs="Arial"/>
                <w:b/>
                <w:sz w:val="20"/>
                <w:szCs w:val="20"/>
              </w:rPr>
            </w:pPr>
            <w:r w:rsidRPr="00004C7D">
              <w:rPr>
                <w:rFonts w:cs="Arial"/>
                <w:b/>
                <w:sz w:val="20"/>
                <w:szCs w:val="20"/>
              </w:rPr>
              <w:t>SITE-SPECIFIC MERIT ASSESSMENT</w:t>
            </w:r>
          </w:p>
        </w:tc>
      </w:tr>
      <w:tr w:rsidR="00143E72" w:rsidRPr="00004C7D" w:rsidTr="00DF030A">
        <w:trPr>
          <w:gridAfter w:val="1"/>
          <w:wAfter w:w="108" w:type="dxa"/>
          <w:jc w:val="center"/>
        </w:trPr>
        <w:tc>
          <w:tcPr>
            <w:tcW w:w="2835" w:type="dxa"/>
          </w:tcPr>
          <w:p w:rsidR="00143E72" w:rsidRPr="00DB5CF8" w:rsidRDefault="00143E72" w:rsidP="00DF030A">
            <w:pPr>
              <w:keepNext/>
              <w:spacing w:before="60" w:after="60"/>
              <w:rPr>
                <w:rFonts w:cs="Arial"/>
                <w:bCs/>
                <w:sz w:val="20"/>
                <w:szCs w:val="20"/>
              </w:rPr>
            </w:pPr>
            <w:r w:rsidRPr="00DB5CF8">
              <w:rPr>
                <w:rFonts w:cs="Arial"/>
                <w:bCs/>
                <w:sz w:val="20"/>
                <w:szCs w:val="20"/>
              </w:rPr>
              <w:t>Natural environment</w:t>
            </w:r>
          </w:p>
        </w:tc>
        <w:tc>
          <w:tcPr>
            <w:tcW w:w="7655" w:type="dxa"/>
            <w:vAlign w:val="center"/>
          </w:tcPr>
          <w:p w:rsidR="00143E72" w:rsidRPr="00A16FE5" w:rsidRDefault="00143E72" w:rsidP="00DF030A">
            <w:pPr>
              <w:autoSpaceDE w:val="0"/>
              <w:autoSpaceDN w:val="0"/>
              <w:adjustRightInd w:val="0"/>
              <w:rPr>
                <w:rFonts w:cs="Arial"/>
                <w:sz w:val="20"/>
                <w:szCs w:val="20"/>
              </w:rPr>
            </w:pPr>
            <w:r w:rsidRPr="00A16FE5">
              <w:rPr>
                <w:rFonts w:cs="Arial"/>
                <w:sz w:val="20"/>
                <w:szCs w:val="20"/>
              </w:rPr>
              <w:t>The site is located in a residential and commercial area and redevelopment is unlikely to cause adverse impact to the natural environment.</w:t>
            </w:r>
          </w:p>
          <w:p w:rsidR="00143E72" w:rsidRPr="00A16FE5" w:rsidRDefault="00143E72" w:rsidP="00DF030A">
            <w:pPr>
              <w:rPr>
                <w:rFonts w:cs="Arial"/>
                <w:sz w:val="20"/>
                <w:szCs w:val="20"/>
              </w:rPr>
            </w:pP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t>Existing, approved, likely future use of land</w:t>
            </w:r>
          </w:p>
        </w:tc>
        <w:tc>
          <w:tcPr>
            <w:tcW w:w="7655" w:type="dxa"/>
            <w:vAlign w:val="center"/>
          </w:tcPr>
          <w:p w:rsidR="00143E72" w:rsidRPr="00A16FE5" w:rsidRDefault="00143E72" w:rsidP="00DF030A">
            <w:pPr>
              <w:autoSpaceDE w:val="0"/>
              <w:autoSpaceDN w:val="0"/>
              <w:adjustRightInd w:val="0"/>
              <w:rPr>
                <w:rFonts w:cs="Arial"/>
                <w:sz w:val="20"/>
                <w:szCs w:val="20"/>
              </w:rPr>
            </w:pPr>
            <w:r w:rsidRPr="00A16FE5">
              <w:rPr>
                <w:rFonts w:cs="Arial"/>
                <w:sz w:val="20"/>
                <w:szCs w:val="20"/>
              </w:rPr>
              <w:t>The 1716 m² site is currently occupied by a single storey cottage, located at the front part of the site, and a shed to the rear. The remainder of the site is vacant and used as private open space.  Access to the site is from a vehicular crossing and driveway located on the eastern side of the property.</w:t>
            </w:r>
          </w:p>
          <w:p w:rsidR="00143E72" w:rsidRPr="00A16FE5" w:rsidRDefault="00143E72" w:rsidP="00DF030A">
            <w:pPr>
              <w:framePr w:hSpace="180" w:wrap="around" w:vAnchor="text" w:hAnchor="text" w:xAlign="center" w:y="1"/>
              <w:autoSpaceDE w:val="0"/>
              <w:autoSpaceDN w:val="0"/>
              <w:adjustRightInd w:val="0"/>
              <w:suppressOverlap/>
              <w:rPr>
                <w:rFonts w:cs="Arial"/>
                <w:sz w:val="20"/>
                <w:szCs w:val="20"/>
              </w:rPr>
            </w:pPr>
          </w:p>
          <w:p w:rsidR="00143E72" w:rsidRPr="00A16FE5" w:rsidRDefault="00143E72" w:rsidP="00DF030A">
            <w:pPr>
              <w:rPr>
                <w:rFonts w:cs="Arial"/>
                <w:sz w:val="20"/>
                <w:szCs w:val="20"/>
              </w:rPr>
            </w:pPr>
            <w:r w:rsidRPr="00A16FE5">
              <w:rPr>
                <w:rFonts w:cs="Arial"/>
                <w:sz w:val="20"/>
                <w:szCs w:val="20"/>
              </w:rPr>
              <w:t>The development proposes 950 m² ground floor commercial use (retail and non-retail) and two additional storeys, comprising 15 one, two and three bedroom units for residential use. There is potential for basement parking and an active street frontage.</w:t>
            </w:r>
          </w:p>
          <w:p w:rsidR="00143E72" w:rsidRPr="00A16FE5" w:rsidRDefault="00143E72" w:rsidP="00DF030A">
            <w:pPr>
              <w:rPr>
                <w:rFonts w:cs="Arial"/>
                <w:sz w:val="20"/>
                <w:szCs w:val="20"/>
              </w:rPr>
            </w:pP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t xml:space="preserve">Services and Infrastructure </w:t>
            </w:r>
          </w:p>
        </w:tc>
        <w:tc>
          <w:tcPr>
            <w:tcW w:w="7655" w:type="dxa"/>
            <w:vAlign w:val="center"/>
          </w:tcPr>
          <w:p w:rsidR="00143E72" w:rsidRPr="00A16FE5" w:rsidRDefault="00143E72" w:rsidP="00DF030A">
            <w:pPr>
              <w:autoSpaceDE w:val="0"/>
              <w:autoSpaceDN w:val="0"/>
              <w:adjustRightInd w:val="0"/>
              <w:rPr>
                <w:rFonts w:cs="Arial"/>
                <w:b/>
                <w:sz w:val="20"/>
                <w:szCs w:val="20"/>
              </w:rPr>
            </w:pPr>
            <w:r w:rsidRPr="00A16FE5">
              <w:rPr>
                <w:rFonts w:cs="Arial"/>
                <w:b/>
                <w:sz w:val="20"/>
                <w:szCs w:val="20"/>
              </w:rPr>
              <w:t>Transport</w:t>
            </w:r>
          </w:p>
          <w:p w:rsidR="00143E72" w:rsidRPr="00A16FE5" w:rsidRDefault="00143E72" w:rsidP="00DF030A">
            <w:pPr>
              <w:autoSpaceDE w:val="0"/>
              <w:autoSpaceDN w:val="0"/>
              <w:adjustRightInd w:val="0"/>
              <w:rPr>
                <w:rFonts w:cs="Arial"/>
                <w:sz w:val="20"/>
                <w:szCs w:val="20"/>
              </w:rPr>
            </w:pPr>
            <w:r w:rsidRPr="00A16FE5">
              <w:rPr>
                <w:rFonts w:cs="Arial"/>
                <w:sz w:val="20"/>
                <w:szCs w:val="20"/>
              </w:rPr>
              <w:t xml:space="preserve">Polding Street is a main collector road in the Fairfield Local Government Area which runs east – west between The Horsley Drive and the Cumberland Highway, linking the City of Fairfield and Bossley Park. The draft Fairfield Regional Development Strategy cites the potential for Polding St to be a key east-west public transport link within the LGA, linking </w:t>
            </w:r>
            <w:r w:rsidRPr="00A16FE5">
              <w:rPr>
                <w:rFonts w:cs="Arial"/>
                <w:sz w:val="20"/>
                <w:szCs w:val="20"/>
              </w:rPr>
              <w:lastRenderedPageBreak/>
              <w:t>the two major centres of Prairewood and Fairfield. Bus stops nearby link the site to Cabramatta and Fairfield town centres and provide transport to Fairfield railway station.</w:t>
            </w:r>
          </w:p>
          <w:p w:rsidR="00143E72" w:rsidRPr="00A16FE5" w:rsidRDefault="00143E72" w:rsidP="00DF030A">
            <w:pPr>
              <w:autoSpaceDE w:val="0"/>
              <w:autoSpaceDN w:val="0"/>
              <w:adjustRightInd w:val="0"/>
              <w:rPr>
                <w:rFonts w:cs="Arial"/>
                <w:sz w:val="20"/>
                <w:szCs w:val="20"/>
              </w:rPr>
            </w:pPr>
            <w:r w:rsidRPr="00A16FE5">
              <w:rPr>
                <w:rFonts w:cs="Arial"/>
                <w:sz w:val="20"/>
                <w:szCs w:val="20"/>
              </w:rPr>
              <w:t>Access to the M4 and M7 is approximately 10 minutes drive from the site. Fairfield Heights sits outside the regional bike network.</w:t>
            </w:r>
          </w:p>
          <w:p w:rsidR="00143E72" w:rsidRPr="00A16FE5" w:rsidRDefault="00143E7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Traffic Impact</w:t>
            </w:r>
          </w:p>
          <w:p w:rsidR="00143E72" w:rsidRDefault="00143E72" w:rsidP="00DF030A">
            <w:pPr>
              <w:autoSpaceDE w:val="0"/>
              <w:autoSpaceDN w:val="0"/>
              <w:adjustRightInd w:val="0"/>
              <w:rPr>
                <w:rFonts w:cs="Arial"/>
                <w:sz w:val="20"/>
                <w:szCs w:val="20"/>
              </w:rPr>
            </w:pPr>
            <w:r w:rsidRPr="00A16FE5">
              <w:rPr>
                <w:rFonts w:cs="Arial"/>
                <w:sz w:val="20"/>
                <w:szCs w:val="20"/>
              </w:rPr>
              <w:t xml:space="preserve">Council’s Traffic branch indicated that the amount of traffic that could be generated from a mixed use development, based on an FSR of 2:1, would have minimal impact on the surrounding road network. As the result of advice from Council officers in relation to the built form, the applicant revised the FSR of the proposal (previously 2:1) to 1.5:1. </w:t>
            </w:r>
            <w:r w:rsidR="00BD4102">
              <w:rPr>
                <w:rFonts w:cs="Arial"/>
                <w:sz w:val="20"/>
                <w:szCs w:val="20"/>
              </w:rPr>
              <w:t>Council and the Department are recommending a removal of the FSR restrictions, consistent with the adjoining B2 Local Centre zone. Should the FSR restrictions be removed, as additional traffic assessment may be required, however this can be addressed at DA stage.</w:t>
            </w:r>
          </w:p>
          <w:p w:rsidR="00BD4102" w:rsidRPr="00A16FE5" w:rsidRDefault="00BD4102" w:rsidP="00DF030A">
            <w:pPr>
              <w:autoSpaceDE w:val="0"/>
              <w:autoSpaceDN w:val="0"/>
              <w:adjustRightInd w:val="0"/>
              <w:rPr>
                <w:rFonts w:cs="Arial"/>
                <w:sz w:val="20"/>
                <w:szCs w:val="20"/>
              </w:rPr>
            </w:pPr>
          </w:p>
          <w:p w:rsidR="00143E72" w:rsidRPr="00A16FE5" w:rsidRDefault="00143E72" w:rsidP="00DF030A">
            <w:pPr>
              <w:autoSpaceDE w:val="0"/>
              <w:autoSpaceDN w:val="0"/>
              <w:adjustRightInd w:val="0"/>
              <w:rPr>
                <w:rFonts w:cs="Arial"/>
                <w:b/>
                <w:sz w:val="20"/>
                <w:szCs w:val="20"/>
              </w:rPr>
            </w:pPr>
            <w:r w:rsidRPr="00A16FE5">
              <w:rPr>
                <w:rFonts w:cs="Arial"/>
                <w:b/>
                <w:sz w:val="20"/>
                <w:szCs w:val="20"/>
              </w:rPr>
              <w:t>Utilities</w:t>
            </w:r>
          </w:p>
          <w:p w:rsidR="00143E72" w:rsidRPr="00A16FE5" w:rsidRDefault="00143E72" w:rsidP="00DF030A">
            <w:pPr>
              <w:autoSpaceDE w:val="0"/>
              <w:autoSpaceDN w:val="0"/>
              <w:adjustRightInd w:val="0"/>
              <w:rPr>
                <w:rFonts w:cs="Arial"/>
                <w:sz w:val="20"/>
                <w:szCs w:val="20"/>
              </w:rPr>
            </w:pPr>
            <w:r w:rsidRPr="00A16FE5">
              <w:rPr>
                <w:rFonts w:cs="Arial"/>
                <w:sz w:val="20"/>
                <w:szCs w:val="20"/>
              </w:rPr>
              <w:t>No comment is made in relation to power and water supply, however the subject site’s existing dwelling and location in a residential/commercial area indicates that there is likely to be adequate supply available.</w:t>
            </w:r>
          </w:p>
          <w:p w:rsidR="00143E72" w:rsidRPr="00A16FE5" w:rsidRDefault="00143E72" w:rsidP="00DF030A">
            <w:pPr>
              <w:rPr>
                <w:rFonts w:cs="Arial"/>
                <w:sz w:val="20"/>
                <w:szCs w:val="20"/>
              </w:rPr>
            </w:pPr>
          </w:p>
        </w:tc>
      </w:tr>
      <w:tr w:rsidR="00143E72" w:rsidRPr="00004C7D" w:rsidTr="00DF030A">
        <w:trPr>
          <w:gridAfter w:val="1"/>
          <w:wAfter w:w="108" w:type="dxa"/>
          <w:jc w:val="center"/>
        </w:trPr>
        <w:tc>
          <w:tcPr>
            <w:tcW w:w="2835" w:type="dxa"/>
          </w:tcPr>
          <w:p w:rsidR="00143E72" w:rsidRPr="00DB5CF8" w:rsidRDefault="00143E72" w:rsidP="00DF030A">
            <w:pPr>
              <w:spacing w:before="60" w:after="60"/>
              <w:rPr>
                <w:rFonts w:cs="Arial"/>
                <w:bCs/>
                <w:sz w:val="20"/>
                <w:szCs w:val="20"/>
              </w:rPr>
            </w:pPr>
            <w:r w:rsidRPr="00DB5CF8">
              <w:rPr>
                <w:rFonts w:cs="Arial"/>
                <w:bCs/>
                <w:sz w:val="20"/>
                <w:szCs w:val="20"/>
              </w:rPr>
              <w:lastRenderedPageBreak/>
              <w:t xml:space="preserve">Other relevant matters </w:t>
            </w:r>
          </w:p>
        </w:tc>
        <w:tc>
          <w:tcPr>
            <w:tcW w:w="7655" w:type="dxa"/>
            <w:vAlign w:val="center"/>
          </w:tcPr>
          <w:p w:rsidR="00143E72" w:rsidRPr="00A16FE5" w:rsidRDefault="00143E72" w:rsidP="00DF030A">
            <w:pPr>
              <w:rPr>
                <w:rFonts w:cs="Arial"/>
                <w:sz w:val="20"/>
                <w:szCs w:val="20"/>
              </w:rPr>
            </w:pPr>
            <w:r w:rsidRPr="00A16FE5">
              <w:rPr>
                <w:rFonts w:cs="Arial"/>
                <w:sz w:val="20"/>
                <w:szCs w:val="20"/>
              </w:rPr>
              <w:t>There are no flooding or acid sulphate soil constraints within Fairfield Heights.</w:t>
            </w:r>
          </w:p>
          <w:p w:rsidR="00143E72" w:rsidRPr="00A16FE5" w:rsidRDefault="00143E72" w:rsidP="00DF030A">
            <w:pPr>
              <w:rPr>
                <w:rFonts w:cs="Arial"/>
                <w:sz w:val="20"/>
                <w:szCs w:val="20"/>
              </w:rPr>
            </w:pPr>
          </w:p>
        </w:tc>
      </w:tr>
      <w:tr w:rsidR="00143E72" w:rsidRPr="0074365F" w:rsidTr="00DF030A">
        <w:tblPrEx>
          <w:tblCellMar>
            <w:left w:w="0" w:type="dxa"/>
            <w:right w:w="0" w:type="dxa"/>
          </w:tblCellMar>
          <w:tblLook w:val="0000" w:firstRow="0" w:lastRow="0" w:firstColumn="0" w:lastColumn="0" w:noHBand="0" w:noVBand="0"/>
        </w:tblPrEx>
        <w:trPr>
          <w:jc w:val="center"/>
        </w:trPr>
        <w:tc>
          <w:tcPr>
            <w:tcW w:w="2835" w:type="dxa"/>
            <w:tcMar>
              <w:top w:w="0" w:type="dxa"/>
              <w:left w:w="108" w:type="dxa"/>
              <w:bottom w:w="0" w:type="dxa"/>
              <w:right w:w="108" w:type="dxa"/>
            </w:tcMar>
          </w:tcPr>
          <w:p w:rsidR="00143E72" w:rsidRPr="0074365F" w:rsidRDefault="00143E72" w:rsidP="00DF030A">
            <w:pPr>
              <w:spacing w:before="120" w:after="120"/>
              <w:rPr>
                <w:rFonts w:cs="Arial"/>
                <w:b/>
                <w:sz w:val="20"/>
                <w:szCs w:val="20"/>
              </w:rPr>
            </w:pPr>
            <w:r w:rsidRPr="0074365F">
              <w:rPr>
                <w:rFonts w:cs="Arial"/>
                <w:b/>
                <w:sz w:val="20"/>
                <w:szCs w:val="20"/>
              </w:rPr>
              <w:t>Department’s assessment</w:t>
            </w:r>
            <w:r>
              <w:rPr>
                <w:rFonts w:cs="Arial"/>
                <w:b/>
                <w:sz w:val="20"/>
                <w:szCs w:val="20"/>
              </w:rPr>
              <w:t xml:space="preserve"> - Summary</w:t>
            </w:r>
            <w:r w:rsidRPr="0074365F">
              <w:rPr>
                <w:rFonts w:cs="Arial"/>
                <w:b/>
                <w:sz w:val="20"/>
                <w:szCs w:val="20"/>
              </w:rPr>
              <w:t xml:space="preserve"> </w:t>
            </w:r>
          </w:p>
          <w:p w:rsidR="00143E72" w:rsidRPr="00DB5CF8" w:rsidRDefault="00143E72" w:rsidP="00DF030A">
            <w:pPr>
              <w:spacing w:before="120" w:after="120"/>
              <w:rPr>
                <w:rFonts w:cs="Arial"/>
                <w:b/>
                <w:color w:val="FF0000"/>
                <w:sz w:val="20"/>
                <w:szCs w:val="20"/>
              </w:rPr>
            </w:pPr>
          </w:p>
        </w:tc>
        <w:tc>
          <w:tcPr>
            <w:tcW w:w="7655" w:type="dxa"/>
            <w:gridSpan w:val="2"/>
            <w:tcMar>
              <w:top w:w="0" w:type="dxa"/>
              <w:left w:w="108" w:type="dxa"/>
              <w:bottom w:w="0" w:type="dxa"/>
              <w:right w:w="108" w:type="dxa"/>
            </w:tcMar>
            <w:vAlign w:val="center"/>
          </w:tcPr>
          <w:p w:rsidR="00143E72" w:rsidRPr="00A16FE5" w:rsidRDefault="00143E72" w:rsidP="00DF030A">
            <w:pPr>
              <w:rPr>
                <w:rFonts w:cs="Arial"/>
                <w:sz w:val="20"/>
                <w:szCs w:val="20"/>
              </w:rPr>
            </w:pPr>
            <w:r w:rsidRPr="00A16FE5">
              <w:rPr>
                <w:rFonts w:cs="Arial"/>
                <w:sz w:val="20"/>
                <w:szCs w:val="20"/>
              </w:rPr>
              <w:t>The proponent’s Economic Capability Assessment (ECA prepared by Don Fox Planning) and Supplementary Advice identify a projected demand in Fairfield Heights for 1000m2 of retail floorspace and 2500m2 of non-retail floorspace by 2016. The ECA found that the development of 131 Polding St could accommodate 300m2 of retail and 650m2 of non-retail floorspace to address the shortfall in available commercial floorspace.</w:t>
            </w:r>
          </w:p>
          <w:p w:rsidR="00143E72" w:rsidRPr="00A16FE5" w:rsidRDefault="00143E72" w:rsidP="00DF030A">
            <w:pPr>
              <w:rPr>
                <w:rFonts w:cs="Arial"/>
                <w:sz w:val="20"/>
                <w:szCs w:val="20"/>
              </w:rPr>
            </w:pPr>
          </w:p>
          <w:p w:rsidR="00143E72" w:rsidRPr="00A16FE5" w:rsidRDefault="00143E72" w:rsidP="00DF030A">
            <w:pPr>
              <w:rPr>
                <w:rFonts w:cs="Arial"/>
                <w:b/>
                <w:i/>
                <w:sz w:val="20"/>
                <w:szCs w:val="20"/>
              </w:rPr>
            </w:pPr>
            <w:r w:rsidRPr="00A16FE5">
              <w:rPr>
                <w:rFonts w:cs="Arial"/>
                <w:sz w:val="20"/>
                <w:szCs w:val="20"/>
              </w:rPr>
              <w:t xml:space="preserve">It is considered that the site has merit for progression as a planning proposal. Council’s request to remove the FSR limit, to provide consistency with the adjoining B2 </w:t>
            </w:r>
            <w:r w:rsidR="00D321E2">
              <w:rPr>
                <w:rFonts w:cs="Arial"/>
                <w:sz w:val="20"/>
                <w:szCs w:val="20"/>
              </w:rPr>
              <w:t xml:space="preserve">Local Centre </w:t>
            </w:r>
            <w:r w:rsidRPr="00A16FE5">
              <w:rPr>
                <w:rFonts w:cs="Arial"/>
                <w:sz w:val="20"/>
                <w:szCs w:val="20"/>
              </w:rPr>
              <w:t xml:space="preserve">zone, is </w:t>
            </w:r>
            <w:r w:rsidR="00D321E2">
              <w:rPr>
                <w:rFonts w:cs="Arial"/>
                <w:sz w:val="20"/>
                <w:szCs w:val="20"/>
              </w:rPr>
              <w:t>supported</w:t>
            </w:r>
            <w:r w:rsidRPr="00A16FE5">
              <w:rPr>
                <w:rFonts w:cs="Arial"/>
                <w:sz w:val="20"/>
                <w:szCs w:val="20"/>
              </w:rPr>
              <w:t>.</w:t>
            </w:r>
          </w:p>
          <w:p w:rsidR="00143E72" w:rsidRPr="00A16FE5" w:rsidRDefault="00143E72" w:rsidP="00DF030A">
            <w:pPr>
              <w:rPr>
                <w:rFonts w:cs="Arial"/>
                <w:sz w:val="20"/>
                <w:szCs w:val="20"/>
              </w:rPr>
            </w:pPr>
          </w:p>
        </w:tc>
      </w:tr>
    </w:tbl>
    <w:p w:rsidR="00143E72" w:rsidRDefault="00143E72" w:rsidP="003E1780">
      <w:pPr>
        <w:rPr>
          <w:rFonts w:cs="Arial"/>
          <w:b/>
          <w:sz w:val="10"/>
          <w:szCs w:val="10"/>
          <w:u w:val="single"/>
        </w:rPr>
      </w:pPr>
    </w:p>
    <w:p w:rsidR="00143E72" w:rsidRDefault="00143E72" w:rsidP="003E1780">
      <w:pPr>
        <w:rPr>
          <w:rFonts w:cs="Arial"/>
          <w:b/>
          <w:sz w:val="10"/>
          <w:szCs w:val="10"/>
          <w:u w:val="single"/>
        </w:rPr>
      </w:pPr>
      <w:r>
        <w:rPr>
          <w:rFonts w:cs="Arial"/>
          <w:b/>
          <w:sz w:val="10"/>
          <w:szCs w:val="10"/>
          <w:u w:val="single"/>
        </w:rPr>
        <w:br w:type="page"/>
      </w:r>
    </w:p>
    <w:p w:rsidR="00143E72" w:rsidRPr="002434EE" w:rsidRDefault="00143E72" w:rsidP="003E1780">
      <w:pPr>
        <w:shd w:val="clear" w:color="auto" w:fill="808080"/>
        <w:spacing w:after="120"/>
        <w:rPr>
          <w:rFonts w:cs="Arial"/>
          <w:color w:val="FFFFFF"/>
          <w:sz w:val="26"/>
          <w:szCs w:val="26"/>
        </w:rPr>
      </w:pPr>
      <w:r w:rsidRPr="002434EE">
        <w:rPr>
          <w:rFonts w:cs="Arial"/>
          <w:b/>
          <w:color w:val="FFFFFF"/>
          <w:sz w:val="26"/>
          <w:szCs w:val="26"/>
        </w:rPr>
        <w:t>Information assessment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9"/>
        <w:gridCol w:w="709"/>
        <w:gridCol w:w="6236"/>
      </w:tblGrid>
      <w:tr w:rsidR="00143E72" w:rsidRPr="00577DF5" w:rsidTr="00DF030A">
        <w:trPr>
          <w:trHeight w:val="454"/>
          <w:jc w:val="center"/>
        </w:trPr>
        <w:tc>
          <w:tcPr>
            <w:tcW w:w="2835" w:type="dxa"/>
            <w:vAlign w:val="center"/>
          </w:tcPr>
          <w:p w:rsidR="00143E72" w:rsidRPr="00577DF5" w:rsidRDefault="00143E72" w:rsidP="00DF030A">
            <w:pPr>
              <w:rPr>
                <w:rFonts w:cs="Arial"/>
                <w:b/>
                <w:sz w:val="20"/>
                <w:szCs w:val="20"/>
              </w:rPr>
            </w:pPr>
            <w:r w:rsidRPr="00577DF5">
              <w:rPr>
                <w:rFonts w:cs="Arial"/>
                <w:b/>
                <w:sz w:val="20"/>
                <w:szCs w:val="20"/>
              </w:rPr>
              <w:t xml:space="preserve">Criteria </w:t>
            </w:r>
          </w:p>
        </w:tc>
        <w:tc>
          <w:tcPr>
            <w:tcW w:w="709" w:type="dxa"/>
            <w:vAlign w:val="center"/>
          </w:tcPr>
          <w:p w:rsidR="00143E72" w:rsidRPr="00577DF5" w:rsidRDefault="00143E72" w:rsidP="00DF030A">
            <w:pPr>
              <w:jc w:val="center"/>
              <w:rPr>
                <w:rFonts w:cs="Arial"/>
                <w:b/>
                <w:sz w:val="20"/>
                <w:szCs w:val="20"/>
              </w:rPr>
            </w:pPr>
            <w:r w:rsidRPr="00577DF5">
              <w:rPr>
                <w:rFonts w:cs="Arial"/>
                <w:b/>
                <w:sz w:val="20"/>
                <w:szCs w:val="20"/>
              </w:rPr>
              <w:t>Yes</w:t>
            </w:r>
          </w:p>
        </w:tc>
        <w:tc>
          <w:tcPr>
            <w:tcW w:w="709" w:type="dxa"/>
            <w:vAlign w:val="center"/>
          </w:tcPr>
          <w:p w:rsidR="00143E72" w:rsidRPr="00577DF5" w:rsidRDefault="00143E72" w:rsidP="00DF030A">
            <w:pPr>
              <w:jc w:val="center"/>
              <w:rPr>
                <w:rFonts w:cs="Arial"/>
                <w:b/>
                <w:sz w:val="20"/>
                <w:szCs w:val="20"/>
              </w:rPr>
            </w:pPr>
            <w:r w:rsidRPr="00577DF5">
              <w:rPr>
                <w:rFonts w:cs="Arial"/>
                <w:b/>
                <w:sz w:val="20"/>
                <w:szCs w:val="20"/>
              </w:rPr>
              <w:t>No</w:t>
            </w:r>
          </w:p>
        </w:tc>
        <w:tc>
          <w:tcPr>
            <w:tcW w:w="6236" w:type="dxa"/>
            <w:vAlign w:val="center"/>
          </w:tcPr>
          <w:p w:rsidR="00143E72" w:rsidRPr="00577DF5" w:rsidRDefault="00143E72" w:rsidP="00DF030A">
            <w:pPr>
              <w:rPr>
                <w:rFonts w:cs="Arial"/>
                <w:b/>
                <w:sz w:val="20"/>
                <w:szCs w:val="20"/>
              </w:rPr>
            </w:pPr>
            <w:r w:rsidRPr="00577DF5">
              <w:rPr>
                <w:rFonts w:cs="Arial"/>
                <w:b/>
                <w:sz w:val="20"/>
                <w:szCs w:val="20"/>
              </w:rPr>
              <w:t>Comments</w:t>
            </w:r>
          </w:p>
        </w:tc>
      </w:tr>
      <w:tr w:rsidR="00143E72" w:rsidRPr="00577DF5" w:rsidTr="00DF030A">
        <w:trPr>
          <w:trHeight w:val="454"/>
          <w:jc w:val="center"/>
        </w:trPr>
        <w:tc>
          <w:tcPr>
            <w:tcW w:w="2835" w:type="dxa"/>
            <w:vAlign w:val="center"/>
          </w:tcPr>
          <w:p w:rsidR="00143E72" w:rsidRPr="00577DF5" w:rsidRDefault="00143E72" w:rsidP="00DF030A">
            <w:pPr>
              <w:spacing w:before="60" w:after="60"/>
              <w:rPr>
                <w:rFonts w:cs="Arial"/>
                <w:sz w:val="20"/>
                <w:szCs w:val="20"/>
              </w:rPr>
            </w:pPr>
            <w:r w:rsidRPr="00577DF5">
              <w:rPr>
                <w:rFonts w:cs="Arial"/>
                <w:sz w:val="20"/>
                <w:szCs w:val="20"/>
              </w:rPr>
              <w:t xml:space="preserve">Has all information </w:t>
            </w:r>
            <w:r>
              <w:rPr>
                <w:rFonts w:cs="Arial"/>
                <w:sz w:val="20"/>
                <w:szCs w:val="20"/>
              </w:rPr>
              <w:t xml:space="preserve">referred to by proponent in their application </w:t>
            </w:r>
            <w:r w:rsidRPr="00577DF5">
              <w:rPr>
                <w:rFonts w:cs="Arial"/>
                <w:sz w:val="20"/>
                <w:szCs w:val="20"/>
              </w:rPr>
              <w:t>been provided?</w:t>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6236" w:type="dxa"/>
            <w:vAlign w:val="center"/>
          </w:tcPr>
          <w:p w:rsidR="00143E72" w:rsidRPr="00577DF5" w:rsidRDefault="00143E72" w:rsidP="00DF030A">
            <w:pPr>
              <w:rPr>
                <w:rFonts w:cs="Arial"/>
                <w:sz w:val="20"/>
                <w:szCs w:val="20"/>
              </w:rPr>
            </w:pPr>
          </w:p>
        </w:tc>
      </w:tr>
      <w:tr w:rsidR="00143E72" w:rsidRPr="00577DF5" w:rsidTr="00DF030A">
        <w:trPr>
          <w:trHeight w:val="454"/>
          <w:jc w:val="center"/>
        </w:trPr>
        <w:tc>
          <w:tcPr>
            <w:tcW w:w="2835" w:type="dxa"/>
            <w:vAlign w:val="center"/>
          </w:tcPr>
          <w:p w:rsidR="00143E72" w:rsidRPr="00577DF5" w:rsidRDefault="00143E72" w:rsidP="00DF030A">
            <w:pPr>
              <w:spacing w:before="60" w:after="60"/>
              <w:rPr>
                <w:rFonts w:cs="Arial"/>
                <w:sz w:val="20"/>
                <w:szCs w:val="20"/>
              </w:rPr>
            </w:pPr>
            <w:r w:rsidRPr="00577DF5">
              <w:rPr>
                <w:rFonts w:cs="Arial"/>
                <w:sz w:val="20"/>
                <w:szCs w:val="20"/>
              </w:rPr>
              <w:t>Is information appropriate to support review?</w:t>
            </w:r>
          </w:p>
        </w:tc>
        <w:tc>
          <w:tcPr>
            <w:tcW w:w="709" w:type="dxa"/>
            <w:vAlign w:val="center"/>
          </w:tcPr>
          <w:p w:rsidR="00143E72" w:rsidRPr="00577DF5" w:rsidRDefault="00BE5C1D"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sidR="00143E72">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E5C1D" w:rsidP="00DF030A">
            <w:pPr>
              <w:jc w:val="center"/>
              <w:rPr>
                <w:rFonts w:cs="Arial"/>
                <w:b/>
                <w:sz w:val="20"/>
                <w:szCs w:val="20"/>
              </w:rPr>
            </w:pPr>
            <w:r w:rsidRPr="00577DF5">
              <w:rPr>
                <w:rFonts w:cs="Arial"/>
                <w:sz w:val="20"/>
                <w:szCs w:val="20"/>
              </w:rPr>
              <w:fldChar w:fldCharType="begin">
                <w:ffData>
                  <w:name w:val=""/>
                  <w:enabled/>
                  <w:calcOnExit w:val="0"/>
                  <w:checkBox>
                    <w:size w:val="24"/>
                    <w:default w:val="0"/>
                  </w:checkBox>
                </w:ffData>
              </w:fldChar>
            </w:r>
            <w:r w:rsidR="00143E72" w:rsidRPr="00577DF5">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sidRPr="00577DF5">
              <w:rPr>
                <w:rFonts w:cs="Arial"/>
                <w:sz w:val="20"/>
                <w:szCs w:val="20"/>
              </w:rPr>
              <w:fldChar w:fldCharType="end"/>
            </w:r>
          </w:p>
        </w:tc>
        <w:tc>
          <w:tcPr>
            <w:tcW w:w="6236" w:type="dxa"/>
            <w:vAlign w:val="center"/>
          </w:tcPr>
          <w:p w:rsidR="00143E72" w:rsidRPr="00577DF5" w:rsidRDefault="00143E72" w:rsidP="00DF030A">
            <w:pPr>
              <w:rPr>
                <w:rFonts w:cs="Arial"/>
                <w:sz w:val="20"/>
                <w:szCs w:val="20"/>
              </w:rPr>
            </w:pPr>
          </w:p>
        </w:tc>
      </w:tr>
      <w:tr w:rsidR="00143E72" w:rsidRPr="00577DF5" w:rsidTr="00DF030A">
        <w:trPr>
          <w:trHeight w:val="454"/>
          <w:jc w:val="center"/>
        </w:trPr>
        <w:tc>
          <w:tcPr>
            <w:tcW w:w="2835" w:type="dxa"/>
            <w:vAlign w:val="center"/>
          </w:tcPr>
          <w:p w:rsidR="00143E72" w:rsidRPr="00577DF5" w:rsidRDefault="00143E72" w:rsidP="00DF030A">
            <w:pPr>
              <w:spacing w:before="60" w:after="60"/>
              <w:rPr>
                <w:rFonts w:cs="Arial"/>
                <w:sz w:val="20"/>
                <w:szCs w:val="20"/>
              </w:rPr>
            </w:pPr>
            <w:r w:rsidRPr="00577DF5">
              <w:rPr>
                <w:rFonts w:cs="Arial"/>
                <w:sz w:val="20"/>
                <w:szCs w:val="20"/>
              </w:rPr>
              <w:t>Is further information required?</w:t>
            </w:r>
          </w:p>
        </w:tc>
        <w:tc>
          <w:tcPr>
            <w:tcW w:w="709" w:type="dxa"/>
            <w:vAlign w:val="center"/>
          </w:tcPr>
          <w:p w:rsidR="00143E72" w:rsidRPr="00577DF5" w:rsidRDefault="00B573A1" w:rsidP="00DF030A">
            <w:pPr>
              <w:jc w:val="center"/>
              <w:rPr>
                <w:rFonts w:cs="Arial"/>
                <w:b/>
                <w:sz w:val="20"/>
                <w:szCs w:val="20"/>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709" w:type="dxa"/>
            <w:vAlign w:val="center"/>
          </w:tcPr>
          <w:p w:rsidR="00143E72" w:rsidRPr="00577DF5" w:rsidRDefault="00B573A1" w:rsidP="00DF030A">
            <w:pPr>
              <w:jc w:val="center"/>
              <w:rPr>
                <w:rFonts w:cs="Arial"/>
                <w:b/>
                <w:sz w:val="20"/>
                <w:szCs w:val="20"/>
              </w:rPr>
            </w:pPr>
            <w:r>
              <w:rPr>
                <w:rFonts w:cs="Arial"/>
                <w:sz w:val="20"/>
                <w:szCs w:val="20"/>
              </w:rPr>
              <w:fldChar w:fldCharType="begin">
                <w:ffData>
                  <w:name w:val=""/>
                  <w:enabled/>
                  <w:calcOnExit w:val="0"/>
                  <w:checkBox>
                    <w:size w:val="24"/>
                    <w:default w:val="1"/>
                  </w:checkBox>
                </w:ffData>
              </w:fldChar>
            </w:r>
            <w:r>
              <w:rPr>
                <w:rFonts w:cs="Arial"/>
                <w:sz w:val="20"/>
                <w:szCs w:val="20"/>
              </w:rPr>
              <w:instrText xml:space="preserve"> FORMCHECKBOX </w:instrText>
            </w:r>
            <w:r w:rsidR="00152C95">
              <w:rPr>
                <w:rFonts w:cs="Arial"/>
                <w:sz w:val="20"/>
                <w:szCs w:val="20"/>
              </w:rPr>
            </w:r>
            <w:r w:rsidR="00152C95">
              <w:rPr>
                <w:rFonts w:cs="Arial"/>
                <w:sz w:val="20"/>
                <w:szCs w:val="20"/>
              </w:rPr>
              <w:fldChar w:fldCharType="separate"/>
            </w:r>
            <w:r>
              <w:rPr>
                <w:rFonts w:cs="Arial"/>
                <w:sz w:val="20"/>
                <w:szCs w:val="20"/>
              </w:rPr>
              <w:fldChar w:fldCharType="end"/>
            </w:r>
          </w:p>
        </w:tc>
        <w:tc>
          <w:tcPr>
            <w:tcW w:w="6236" w:type="dxa"/>
            <w:vAlign w:val="center"/>
          </w:tcPr>
          <w:p w:rsidR="00143E72" w:rsidRDefault="00143E72" w:rsidP="00DF030A">
            <w:pPr>
              <w:rPr>
                <w:rFonts w:cs="Arial"/>
                <w:b/>
                <w:sz w:val="20"/>
                <w:szCs w:val="20"/>
              </w:rPr>
            </w:pPr>
            <w:r w:rsidRPr="00577DF5">
              <w:rPr>
                <w:rFonts w:cs="Arial"/>
                <w:b/>
                <w:sz w:val="20"/>
                <w:szCs w:val="20"/>
              </w:rPr>
              <w:t>List additional information required:</w:t>
            </w:r>
          </w:p>
          <w:p w:rsidR="00143E72" w:rsidRPr="00105493" w:rsidRDefault="00143E72" w:rsidP="00DF030A">
            <w:pPr>
              <w:rPr>
                <w:rFonts w:cs="Arial"/>
                <w:b/>
                <w:i/>
                <w:sz w:val="20"/>
                <w:szCs w:val="20"/>
              </w:rPr>
            </w:pPr>
            <w:r w:rsidRPr="008942A0">
              <w:rPr>
                <w:rFonts w:cs="Arial"/>
                <w:sz w:val="20"/>
                <w:szCs w:val="20"/>
              </w:rPr>
              <w:t>The proposal does not contain any details related to stormwater management of th</w:t>
            </w:r>
            <w:r w:rsidR="00B573A1">
              <w:rPr>
                <w:rFonts w:cs="Arial"/>
                <w:sz w:val="20"/>
                <w:szCs w:val="20"/>
              </w:rPr>
              <w:t>e site or potential noise impact, however these can be addressed by Council at DA stage</w:t>
            </w:r>
            <w:r w:rsidRPr="008942A0">
              <w:rPr>
                <w:rFonts w:cs="Arial"/>
                <w:sz w:val="20"/>
                <w:szCs w:val="20"/>
              </w:rPr>
              <w:t>.</w:t>
            </w:r>
          </w:p>
          <w:p w:rsidR="00143E72" w:rsidRPr="00577DF5" w:rsidRDefault="00143E72" w:rsidP="00B573A1">
            <w:pPr>
              <w:rPr>
                <w:rFonts w:cs="Arial"/>
                <w:sz w:val="20"/>
                <w:szCs w:val="20"/>
              </w:rPr>
            </w:pPr>
          </w:p>
        </w:tc>
      </w:tr>
      <w:tr w:rsidR="00143E72" w:rsidRPr="00577DF5" w:rsidTr="00DF030A">
        <w:trPr>
          <w:trHeight w:val="454"/>
          <w:jc w:val="center"/>
        </w:trPr>
        <w:tc>
          <w:tcPr>
            <w:tcW w:w="2835" w:type="dxa"/>
            <w:vAlign w:val="center"/>
          </w:tcPr>
          <w:p w:rsidR="00143E72" w:rsidRPr="00577DF5" w:rsidRDefault="00143E72" w:rsidP="00DF030A">
            <w:pPr>
              <w:spacing w:before="60" w:after="60"/>
              <w:rPr>
                <w:rFonts w:cs="Arial"/>
                <w:sz w:val="20"/>
                <w:szCs w:val="20"/>
              </w:rPr>
            </w:pPr>
            <w:r w:rsidRPr="00577DF5">
              <w:rPr>
                <w:rFonts w:cs="Arial"/>
                <w:sz w:val="20"/>
                <w:szCs w:val="20"/>
              </w:rPr>
              <w:t>Any additional requirements:</w:t>
            </w:r>
          </w:p>
        </w:tc>
        <w:tc>
          <w:tcPr>
            <w:tcW w:w="7654" w:type="dxa"/>
            <w:gridSpan w:val="3"/>
            <w:vAlign w:val="center"/>
          </w:tcPr>
          <w:p w:rsidR="00143E72" w:rsidRPr="00577DF5" w:rsidRDefault="00143E72" w:rsidP="00DF030A">
            <w:pPr>
              <w:rPr>
                <w:rFonts w:cs="Arial"/>
                <w:sz w:val="20"/>
                <w:szCs w:val="20"/>
              </w:rPr>
            </w:pPr>
          </w:p>
        </w:tc>
      </w:tr>
    </w:tbl>
    <w:p w:rsidR="00143E72" w:rsidRDefault="00143E72" w:rsidP="003E1780">
      <w:pPr>
        <w:rPr>
          <w:rFonts w:cs="Arial"/>
          <w:b/>
          <w:sz w:val="10"/>
          <w:szCs w:val="10"/>
          <w:u w:val="single"/>
        </w:rPr>
      </w:pPr>
    </w:p>
    <w:p w:rsidR="00143E72" w:rsidRDefault="00143E72" w:rsidP="003E1780">
      <w:pPr>
        <w:rPr>
          <w:rFonts w:cs="Arial"/>
          <w:b/>
          <w:sz w:val="10"/>
          <w:szCs w:val="10"/>
          <w:u w:val="single"/>
        </w:rPr>
      </w:pPr>
    </w:p>
    <w:p w:rsidR="00143E72" w:rsidRPr="00435338" w:rsidRDefault="00143E72" w:rsidP="003E1780">
      <w:pPr>
        <w:shd w:val="clear" w:color="auto" w:fill="808080"/>
        <w:spacing w:before="120" w:after="120"/>
        <w:rPr>
          <w:rFonts w:cs="Arial"/>
          <w:b/>
          <w:color w:val="FFFFFF"/>
          <w:sz w:val="26"/>
          <w:szCs w:val="26"/>
        </w:rPr>
      </w:pPr>
      <w:r w:rsidRPr="00435338">
        <w:rPr>
          <w:rFonts w:cs="Arial"/>
          <w:b/>
          <w:color w:val="FFFFFF"/>
          <w:sz w:val="26"/>
          <w:szCs w:val="26"/>
        </w:rPr>
        <w:t>RECOMMENDATION</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1"/>
        <w:gridCol w:w="4961"/>
      </w:tblGrid>
      <w:tr w:rsidR="00143E72" w:rsidRPr="00577DF5" w:rsidTr="00DF030A">
        <w:trPr>
          <w:jc w:val="center"/>
        </w:trPr>
        <w:tc>
          <w:tcPr>
            <w:tcW w:w="567" w:type="dxa"/>
            <w:tcBorders>
              <w:right w:val="nil"/>
            </w:tcBorders>
          </w:tcPr>
          <w:p w:rsidR="00143E72" w:rsidRPr="00577DF5" w:rsidRDefault="00BE5C1D" w:rsidP="00DF030A">
            <w:pPr>
              <w:spacing w:before="60" w:after="60"/>
              <w:jc w:val="center"/>
              <w:rPr>
                <w:b/>
              </w:rPr>
            </w:pPr>
            <w:r>
              <w:fldChar w:fldCharType="begin">
                <w:ffData>
                  <w:name w:val=""/>
                  <w:enabled/>
                  <w:calcOnExit w:val="0"/>
                  <w:checkBox>
                    <w:size w:val="22"/>
                    <w:default w:val="1"/>
                  </w:checkBox>
                </w:ffData>
              </w:fldChar>
            </w:r>
            <w:r w:rsidR="00143E72">
              <w:instrText xml:space="preserve"> FORMCHECKBOX </w:instrText>
            </w:r>
            <w:r w:rsidR="00152C95">
              <w:fldChar w:fldCharType="separate"/>
            </w:r>
            <w:r>
              <w:fldChar w:fldCharType="end"/>
            </w:r>
          </w:p>
        </w:tc>
        <w:tc>
          <w:tcPr>
            <w:tcW w:w="4961" w:type="dxa"/>
            <w:tcBorders>
              <w:left w:val="nil"/>
            </w:tcBorders>
          </w:tcPr>
          <w:p w:rsidR="00143E72" w:rsidRPr="00577DF5" w:rsidRDefault="00143E72" w:rsidP="00DF030A">
            <w:pPr>
              <w:keepNext/>
              <w:spacing w:before="60" w:after="60"/>
              <w:rPr>
                <w:rFonts w:cs="Arial"/>
                <w:b/>
                <w:sz w:val="20"/>
                <w:szCs w:val="20"/>
              </w:rPr>
            </w:pPr>
            <w:r w:rsidRPr="00577DF5">
              <w:rPr>
                <w:rFonts w:cs="Arial"/>
                <w:sz w:val="20"/>
                <w:szCs w:val="20"/>
              </w:rPr>
              <w:t xml:space="preserve">The request </w:t>
            </w:r>
            <w:r w:rsidRPr="00577DF5">
              <w:rPr>
                <w:rFonts w:cs="Arial"/>
                <w:b/>
                <w:sz w:val="20"/>
                <w:szCs w:val="20"/>
              </w:rPr>
              <w:t>is eligible</w:t>
            </w:r>
            <w:r w:rsidRPr="00577DF5">
              <w:rPr>
                <w:rFonts w:cs="Arial"/>
                <w:sz w:val="20"/>
                <w:szCs w:val="20"/>
              </w:rPr>
              <w:t xml:space="preserve"> for review and sufficient information </w:t>
            </w:r>
            <w:r w:rsidRPr="00577DF5">
              <w:rPr>
                <w:rFonts w:cs="Arial"/>
                <w:b/>
                <w:sz w:val="20"/>
                <w:szCs w:val="20"/>
              </w:rPr>
              <w:t>has been</w:t>
            </w:r>
            <w:r w:rsidRPr="00577DF5">
              <w:rPr>
                <w:rFonts w:cs="Arial"/>
                <w:sz w:val="20"/>
                <w:szCs w:val="20"/>
              </w:rPr>
              <w:t xml:space="preserve"> provided.  The request </w:t>
            </w:r>
            <w:r w:rsidRPr="00DB5CF8">
              <w:rPr>
                <w:rFonts w:cs="Arial"/>
                <w:b/>
                <w:sz w:val="20"/>
                <w:szCs w:val="20"/>
              </w:rPr>
              <w:t>may proceed</w:t>
            </w:r>
            <w:r w:rsidR="002B730F">
              <w:rPr>
                <w:rFonts w:cs="Arial"/>
                <w:sz w:val="20"/>
                <w:szCs w:val="20"/>
              </w:rPr>
              <w:t xml:space="preserve"> to review by JRPP</w:t>
            </w:r>
            <w:r w:rsidRPr="00577DF5">
              <w:rPr>
                <w:rFonts w:cs="Arial"/>
                <w:sz w:val="20"/>
                <w:szCs w:val="20"/>
              </w:rPr>
              <w:t xml:space="preserve">. </w:t>
            </w:r>
          </w:p>
        </w:tc>
        <w:tc>
          <w:tcPr>
            <w:tcW w:w="4961" w:type="dxa"/>
          </w:tcPr>
          <w:p w:rsidR="00143E72" w:rsidRPr="00577DF5" w:rsidRDefault="00143E72" w:rsidP="00DF030A">
            <w:pPr>
              <w:keepNext/>
              <w:spacing w:before="60" w:after="60"/>
              <w:rPr>
                <w:rFonts w:cs="Arial"/>
                <w:sz w:val="20"/>
                <w:szCs w:val="20"/>
              </w:rPr>
            </w:pPr>
            <w:r w:rsidRPr="00577DF5">
              <w:rPr>
                <w:rFonts w:cs="Arial"/>
                <w:sz w:val="20"/>
                <w:szCs w:val="20"/>
              </w:rPr>
              <w:t>Any additional comments:</w:t>
            </w:r>
          </w:p>
          <w:p w:rsidR="00143E72" w:rsidRPr="00577DF5" w:rsidRDefault="00143E72" w:rsidP="00DF030A">
            <w:pPr>
              <w:keepNext/>
              <w:spacing w:before="60" w:after="60"/>
              <w:rPr>
                <w:rFonts w:cs="Arial"/>
                <w:sz w:val="20"/>
                <w:szCs w:val="20"/>
              </w:rPr>
            </w:pPr>
          </w:p>
        </w:tc>
      </w:tr>
    </w:tbl>
    <w:p w:rsidR="00143E72" w:rsidRPr="002D46F8" w:rsidRDefault="00143E72" w:rsidP="003E1780">
      <w:pPr>
        <w:rPr>
          <w:rFonts w:cs="Arial"/>
          <w:sz w:val="20"/>
          <w:szCs w:val="20"/>
        </w:rPr>
      </w:pPr>
    </w:p>
    <w:p w:rsidR="00143E72" w:rsidRPr="00B04804" w:rsidRDefault="00143E72" w:rsidP="003E1780">
      <w:pPr>
        <w:rPr>
          <w:rFonts w:cs="Arial"/>
          <w:b/>
          <w:sz w:val="22"/>
          <w:szCs w:val="22"/>
        </w:rPr>
      </w:pPr>
      <w:r w:rsidRPr="00B04804">
        <w:rPr>
          <w:rFonts w:cs="Arial"/>
          <w:b/>
          <w:sz w:val="22"/>
          <w:szCs w:val="22"/>
        </w:rPr>
        <w:t>Prepared by:</w:t>
      </w:r>
    </w:p>
    <w:p w:rsidR="00143E72" w:rsidRDefault="00143E72" w:rsidP="003E1780">
      <w:pPr>
        <w:rPr>
          <w:rFonts w:cs="Arial"/>
          <w:b/>
          <w:sz w:val="20"/>
          <w:szCs w:val="20"/>
        </w:rPr>
      </w:pPr>
    </w:p>
    <w:p w:rsidR="00143E72" w:rsidRPr="00B04804" w:rsidRDefault="00143E72" w:rsidP="003E1780">
      <w:pPr>
        <w:rPr>
          <w:rFonts w:cs="Arial"/>
          <w:b/>
          <w:sz w:val="20"/>
          <w:szCs w:val="20"/>
        </w:rPr>
      </w:pPr>
      <w:r w:rsidRPr="00B04804">
        <w:rPr>
          <w:rFonts w:cs="Arial"/>
          <w:b/>
          <w:sz w:val="20"/>
          <w:szCs w:val="20"/>
        </w:rPr>
        <w:t>Georgina Ballantine</w:t>
      </w:r>
    </w:p>
    <w:p w:rsidR="00143E72" w:rsidRPr="00B04804" w:rsidRDefault="00143E72" w:rsidP="003E1780">
      <w:pPr>
        <w:rPr>
          <w:rFonts w:cs="Arial"/>
          <w:b/>
          <w:sz w:val="20"/>
          <w:szCs w:val="20"/>
        </w:rPr>
      </w:pPr>
      <w:r w:rsidRPr="00B04804">
        <w:rPr>
          <w:rFonts w:cs="Arial"/>
          <w:b/>
          <w:sz w:val="20"/>
          <w:szCs w:val="20"/>
        </w:rPr>
        <w:t>Planning Officer</w:t>
      </w:r>
      <w:r>
        <w:rPr>
          <w:rFonts w:cs="Arial"/>
          <w:b/>
          <w:sz w:val="20"/>
          <w:szCs w:val="20"/>
        </w:rPr>
        <w:t xml:space="preserve">, </w:t>
      </w:r>
      <w:r w:rsidRPr="00B04804">
        <w:rPr>
          <w:rFonts w:cs="Arial"/>
          <w:b/>
          <w:sz w:val="20"/>
          <w:szCs w:val="20"/>
        </w:rPr>
        <w:t>Sydney West</w:t>
      </w:r>
    </w:p>
    <w:p w:rsidR="00143E72" w:rsidRPr="00B04804" w:rsidRDefault="00143E72" w:rsidP="003E1780">
      <w:pPr>
        <w:rPr>
          <w:rFonts w:cs="Arial"/>
          <w:sz w:val="22"/>
          <w:szCs w:val="22"/>
        </w:rPr>
      </w:pPr>
    </w:p>
    <w:p w:rsidR="00143E72" w:rsidRDefault="00377425" w:rsidP="003E1780">
      <w:r>
        <w:rPr>
          <w:rFonts w:cs="Arial"/>
          <w:noProof/>
          <w:sz w:val="22"/>
          <w:szCs w:val="22"/>
        </w:rPr>
        <w:drawing>
          <wp:inline distT="0" distB="0" distL="0" distR="0">
            <wp:extent cx="3314065" cy="32207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065" cy="3220720"/>
                    </a:xfrm>
                    <a:prstGeom prst="rect">
                      <a:avLst/>
                    </a:prstGeom>
                    <a:noFill/>
                    <a:ln>
                      <a:noFill/>
                    </a:ln>
                  </pic:spPr>
                </pic:pic>
              </a:graphicData>
            </a:graphic>
          </wp:inline>
        </w:drawing>
      </w:r>
    </w:p>
    <w:p w:rsidR="00143E72" w:rsidRPr="003E1780" w:rsidRDefault="00143E72" w:rsidP="003E1780">
      <w:pPr>
        <w:rPr>
          <w:szCs w:val="22"/>
        </w:rPr>
      </w:pPr>
    </w:p>
    <w:sectPr w:rsidR="00143E72" w:rsidRPr="003E1780" w:rsidSect="004B32D7">
      <w:footerReference w:type="even" r:id="rId10"/>
      <w:footerReference w:type="default" r:id="rId11"/>
      <w:pgSz w:w="11906" w:h="16838"/>
      <w:pgMar w:top="851" w:right="851" w:bottom="851"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95" w:rsidRDefault="00152C95" w:rsidP="00243374">
      <w:r>
        <w:separator/>
      </w:r>
    </w:p>
  </w:endnote>
  <w:endnote w:type="continuationSeparator" w:id="0">
    <w:p w:rsidR="00152C95" w:rsidRDefault="00152C95" w:rsidP="002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72" w:rsidRDefault="00BE5C1D" w:rsidP="00582D1F">
    <w:pPr>
      <w:pStyle w:val="Footer"/>
      <w:framePr w:wrap="around" w:vAnchor="text" w:hAnchor="margin" w:xAlign="right" w:y="1"/>
      <w:rPr>
        <w:rStyle w:val="PageNumber"/>
      </w:rPr>
    </w:pPr>
    <w:r>
      <w:rPr>
        <w:rStyle w:val="PageNumber"/>
      </w:rPr>
      <w:fldChar w:fldCharType="begin"/>
    </w:r>
    <w:r w:rsidR="00143E72">
      <w:rPr>
        <w:rStyle w:val="PageNumber"/>
      </w:rPr>
      <w:instrText xml:space="preserve">PAGE  </w:instrText>
    </w:r>
    <w:r>
      <w:rPr>
        <w:rStyle w:val="PageNumber"/>
      </w:rPr>
      <w:fldChar w:fldCharType="separate"/>
    </w:r>
    <w:r w:rsidR="00143E72">
      <w:rPr>
        <w:rStyle w:val="PageNumber"/>
        <w:noProof/>
      </w:rPr>
      <w:t>1</w:t>
    </w:r>
    <w:r>
      <w:rPr>
        <w:rStyle w:val="PageNumber"/>
      </w:rPr>
      <w:fldChar w:fldCharType="end"/>
    </w:r>
  </w:p>
  <w:p w:rsidR="00143E72" w:rsidRDefault="00143E72" w:rsidP="00582D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72" w:rsidRPr="004660E0" w:rsidRDefault="00BE5C1D" w:rsidP="00582D1F">
    <w:pPr>
      <w:pStyle w:val="Footer"/>
      <w:framePr w:wrap="around" w:vAnchor="text" w:hAnchor="margin" w:xAlign="right" w:y="1"/>
      <w:rPr>
        <w:rStyle w:val="PageNumber"/>
        <w:rFonts w:ascii="Arial Narrow" w:hAnsi="Arial Narrow"/>
        <w:sz w:val="16"/>
        <w:szCs w:val="16"/>
      </w:rPr>
    </w:pPr>
    <w:r w:rsidRPr="004660E0">
      <w:rPr>
        <w:rStyle w:val="PageNumber"/>
        <w:rFonts w:ascii="Arial Narrow" w:hAnsi="Arial Narrow"/>
        <w:sz w:val="16"/>
        <w:szCs w:val="16"/>
      </w:rPr>
      <w:fldChar w:fldCharType="begin"/>
    </w:r>
    <w:r w:rsidR="00143E72" w:rsidRPr="004660E0">
      <w:rPr>
        <w:rStyle w:val="PageNumber"/>
        <w:rFonts w:ascii="Arial Narrow" w:hAnsi="Arial Narrow"/>
        <w:sz w:val="16"/>
        <w:szCs w:val="16"/>
      </w:rPr>
      <w:instrText xml:space="preserve">PAGE  </w:instrText>
    </w:r>
    <w:r w:rsidRPr="004660E0">
      <w:rPr>
        <w:rStyle w:val="PageNumber"/>
        <w:rFonts w:ascii="Arial Narrow" w:hAnsi="Arial Narrow"/>
        <w:sz w:val="16"/>
        <w:szCs w:val="16"/>
      </w:rPr>
      <w:fldChar w:fldCharType="separate"/>
    </w:r>
    <w:r w:rsidR="00377425">
      <w:rPr>
        <w:rStyle w:val="PageNumber"/>
        <w:rFonts w:ascii="Arial Narrow" w:hAnsi="Arial Narrow"/>
        <w:noProof/>
        <w:sz w:val="16"/>
        <w:szCs w:val="16"/>
      </w:rPr>
      <w:t>2</w:t>
    </w:r>
    <w:r w:rsidRPr="004660E0">
      <w:rPr>
        <w:rStyle w:val="PageNumber"/>
        <w:rFonts w:ascii="Arial Narrow" w:hAnsi="Arial Narrow"/>
        <w:sz w:val="16"/>
        <w:szCs w:val="16"/>
      </w:rPr>
      <w:fldChar w:fldCharType="end"/>
    </w:r>
  </w:p>
  <w:p w:rsidR="00143E72" w:rsidRPr="004B32D7" w:rsidRDefault="00143E72" w:rsidP="00582D1F">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95" w:rsidRDefault="00152C95" w:rsidP="00243374">
      <w:r>
        <w:separator/>
      </w:r>
    </w:p>
  </w:footnote>
  <w:footnote w:type="continuationSeparator" w:id="0">
    <w:p w:rsidR="00152C95" w:rsidRDefault="00152C95" w:rsidP="00243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AA3698"/>
    <w:lvl w:ilvl="0">
      <w:start w:val="1"/>
      <w:numFmt w:val="decimal"/>
      <w:pStyle w:val="ListBullet"/>
      <w:lvlText w:val="%1."/>
      <w:lvlJc w:val="left"/>
      <w:pPr>
        <w:tabs>
          <w:tab w:val="num" w:pos="1492"/>
        </w:tabs>
        <w:ind w:left="1492" w:hanging="360"/>
      </w:pPr>
      <w:rPr>
        <w:rFonts w:cs="Times New Roman"/>
      </w:rPr>
    </w:lvl>
  </w:abstractNum>
  <w:abstractNum w:abstractNumId="1">
    <w:nsid w:val="FFFFFF89"/>
    <w:multiLevelType w:val="singleLevel"/>
    <w:tmpl w:val="91BA164A"/>
    <w:lvl w:ilvl="0">
      <w:start w:val="1"/>
      <w:numFmt w:val="bullet"/>
      <w:lvlText w:val=""/>
      <w:lvlJc w:val="left"/>
      <w:pPr>
        <w:tabs>
          <w:tab w:val="num" w:pos="360"/>
        </w:tabs>
        <w:ind w:left="360" w:hanging="360"/>
      </w:pPr>
      <w:rPr>
        <w:rFonts w:ascii="Symbol" w:hAnsi="Symbol" w:hint="default"/>
      </w:rPr>
    </w:lvl>
  </w:abstractNum>
  <w:abstractNum w:abstractNumId="2">
    <w:nsid w:val="008F2C69"/>
    <w:multiLevelType w:val="hybridMultilevel"/>
    <w:tmpl w:val="B3CC440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5CC181B"/>
    <w:multiLevelType w:val="hybridMultilevel"/>
    <w:tmpl w:val="EA5EA346"/>
    <w:lvl w:ilvl="0" w:tplc="33DA8B54">
      <w:start w:val="1"/>
      <w:numFmt w:val="lowerRoman"/>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nsid w:val="05FC41BF"/>
    <w:multiLevelType w:val="hybridMultilevel"/>
    <w:tmpl w:val="F940C9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E1F0048"/>
    <w:multiLevelType w:val="hybridMultilevel"/>
    <w:tmpl w:val="CF1037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FAC7735"/>
    <w:multiLevelType w:val="hybridMultilevel"/>
    <w:tmpl w:val="4BF0B4C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0E22A73"/>
    <w:multiLevelType w:val="hybridMultilevel"/>
    <w:tmpl w:val="FDDC736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33737B7"/>
    <w:multiLevelType w:val="hybridMultilevel"/>
    <w:tmpl w:val="41B4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916927"/>
    <w:multiLevelType w:val="hybridMultilevel"/>
    <w:tmpl w:val="A61AA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895A7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4CD6681"/>
    <w:multiLevelType w:val="hybridMultilevel"/>
    <w:tmpl w:val="C848F7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8543C99"/>
    <w:multiLevelType w:val="hybridMultilevel"/>
    <w:tmpl w:val="6D08602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393E4934"/>
    <w:multiLevelType w:val="hybridMultilevel"/>
    <w:tmpl w:val="19E849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B803D98"/>
    <w:multiLevelType w:val="hybridMultilevel"/>
    <w:tmpl w:val="567063EA"/>
    <w:lvl w:ilvl="0" w:tplc="0C09000F">
      <w:start w:val="1"/>
      <w:numFmt w:val="decimal"/>
      <w:lvlText w:val="%1."/>
      <w:lvlJc w:val="left"/>
      <w:pPr>
        <w:ind w:left="821" w:hanging="360"/>
      </w:pPr>
      <w:rPr>
        <w:rFonts w:cs="Times New Roman"/>
      </w:rPr>
    </w:lvl>
    <w:lvl w:ilvl="1" w:tplc="0C090019" w:tentative="1">
      <w:start w:val="1"/>
      <w:numFmt w:val="lowerLetter"/>
      <w:lvlText w:val="%2."/>
      <w:lvlJc w:val="left"/>
      <w:pPr>
        <w:ind w:left="1541" w:hanging="360"/>
      </w:pPr>
      <w:rPr>
        <w:rFonts w:cs="Times New Roman"/>
      </w:rPr>
    </w:lvl>
    <w:lvl w:ilvl="2" w:tplc="0C09001B" w:tentative="1">
      <w:start w:val="1"/>
      <w:numFmt w:val="lowerRoman"/>
      <w:lvlText w:val="%3."/>
      <w:lvlJc w:val="right"/>
      <w:pPr>
        <w:ind w:left="2261" w:hanging="180"/>
      </w:pPr>
      <w:rPr>
        <w:rFonts w:cs="Times New Roman"/>
      </w:rPr>
    </w:lvl>
    <w:lvl w:ilvl="3" w:tplc="0C09000F" w:tentative="1">
      <w:start w:val="1"/>
      <w:numFmt w:val="decimal"/>
      <w:lvlText w:val="%4."/>
      <w:lvlJc w:val="left"/>
      <w:pPr>
        <w:ind w:left="2981" w:hanging="360"/>
      </w:pPr>
      <w:rPr>
        <w:rFonts w:cs="Times New Roman"/>
      </w:rPr>
    </w:lvl>
    <w:lvl w:ilvl="4" w:tplc="0C090019" w:tentative="1">
      <w:start w:val="1"/>
      <w:numFmt w:val="lowerLetter"/>
      <w:lvlText w:val="%5."/>
      <w:lvlJc w:val="left"/>
      <w:pPr>
        <w:ind w:left="3701" w:hanging="360"/>
      </w:pPr>
      <w:rPr>
        <w:rFonts w:cs="Times New Roman"/>
      </w:rPr>
    </w:lvl>
    <w:lvl w:ilvl="5" w:tplc="0C09001B" w:tentative="1">
      <w:start w:val="1"/>
      <w:numFmt w:val="lowerRoman"/>
      <w:lvlText w:val="%6."/>
      <w:lvlJc w:val="right"/>
      <w:pPr>
        <w:ind w:left="4421" w:hanging="180"/>
      </w:pPr>
      <w:rPr>
        <w:rFonts w:cs="Times New Roman"/>
      </w:rPr>
    </w:lvl>
    <w:lvl w:ilvl="6" w:tplc="0C09000F" w:tentative="1">
      <w:start w:val="1"/>
      <w:numFmt w:val="decimal"/>
      <w:lvlText w:val="%7."/>
      <w:lvlJc w:val="left"/>
      <w:pPr>
        <w:ind w:left="5141" w:hanging="360"/>
      </w:pPr>
      <w:rPr>
        <w:rFonts w:cs="Times New Roman"/>
      </w:rPr>
    </w:lvl>
    <w:lvl w:ilvl="7" w:tplc="0C090019" w:tentative="1">
      <w:start w:val="1"/>
      <w:numFmt w:val="lowerLetter"/>
      <w:lvlText w:val="%8."/>
      <w:lvlJc w:val="left"/>
      <w:pPr>
        <w:ind w:left="5861" w:hanging="360"/>
      </w:pPr>
      <w:rPr>
        <w:rFonts w:cs="Times New Roman"/>
      </w:rPr>
    </w:lvl>
    <w:lvl w:ilvl="8" w:tplc="0C09001B" w:tentative="1">
      <w:start w:val="1"/>
      <w:numFmt w:val="lowerRoman"/>
      <w:lvlText w:val="%9."/>
      <w:lvlJc w:val="right"/>
      <w:pPr>
        <w:ind w:left="6581" w:hanging="180"/>
      </w:pPr>
      <w:rPr>
        <w:rFonts w:cs="Times New Roman"/>
      </w:rPr>
    </w:lvl>
  </w:abstractNum>
  <w:abstractNum w:abstractNumId="15">
    <w:nsid w:val="54341961"/>
    <w:multiLevelType w:val="hybridMultilevel"/>
    <w:tmpl w:val="9A1EFC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559D2EA8"/>
    <w:multiLevelType w:val="hybridMultilevel"/>
    <w:tmpl w:val="9DD6BB20"/>
    <w:lvl w:ilvl="0" w:tplc="E6B40352">
      <w:start w:val="4"/>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nsid w:val="56DF023C"/>
    <w:multiLevelType w:val="singleLevel"/>
    <w:tmpl w:val="AB1619E4"/>
    <w:lvl w:ilvl="0">
      <w:start w:val="1"/>
      <w:numFmt w:val="bullet"/>
      <w:lvlText w:val=""/>
      <w:lvlJc w:val="left"/>
      <w:pPr>
        <w:tabs>
          <w:tab w:val="num" w:pos="360"/>
        </w:tabs>
        <w:ind w:left="360" w:hanging="360"/>
      </w:pPr>
      <w:rPr>
        <w:rFonts w:ascii="Symbol" w:hAnsi="Symbol" w:hint="default"/>
      </w:rPr>
    </w:lvl>
  </w:abstractNum>
  <w:abstractNum w:abstractNumId="18">
    <w:nsid w:val="56E67A7C"/>
    <w:multiLevelType w:val="hybridMultilevel"/>
    <w:tmpl w:val="8CB0D9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99160D2"/>
    <w:multiLevelType w:val="hybridMultilevel"/>
    <w:tmpl w:val="95624C7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5C7530CF"/>
    <w:multiLevelType w:val="hybridMultilevel"/>
    <w:tmpl w:val="95624C7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E495775"/>
    <w:multiLevelType w:val="hybridMultilevel"/>
    <w:tmpl w:val="E06085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nsid w:val="5EDE3BF3"/>
    <w:multiLevelType w:val="hybridMultilevel"/>
    <w:tmpl w:val="1A8249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F730DC2"/>
    <w:multiLevelType w:val="hybridMultilevel"/>
    <w:tmpl w:val="E46A5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AAC071E"/>
    <w:multiLevelType w:val="hybridMultilevel"/>
    <w:tmpl w:val="833C0F26"/>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4"/>
  </w:num>
  <w:num w:numId="4">
    <w:abstractNumId w:val="5"/>
  </w:num>
  <w:num w:numId="5">
    <w:abstractNumId w:val="23"/>
  </w:num>
  <w:num w:numId="6">
    <w:abstractNumId w:val="18"/>
  </w:num>
  <w:num w:numId="7">
    <w:abstractNumId w:val="22"/>
  </w:num>
  <w:num w:numId="8">
    <w:abstractNumId w:val="0"/>
  </w:num>
  <w:num w:numId="9">
    <w:abstractNumId w:val="17"/>
  </w:num>
  <w:num w:numId="10">
    <w:abstractNumId w:val="19"/>
  </w:num>
  <w:num w:numId="11">
    <w:abstractNumId w:val="9"/>
  </w:num>
  <w:num w:numId="12">
    <w:abstractNumId w:val="20"/>
  </w:num>
  <w:num w:numId="13">
    <w:abstractNumId w:val="2"/>
  </w:num>
  <w:num w:numId="14">
    <w:abstractNumId w:val="3"/>
  </w:num>
  <w:num w:numId="15">
    <w:abstractNumId w:val="10"/>
  </w:num>
  <w:num w:numId="16">
    <w:abstractNumId w:val="24"/>
  </w:num>
  <w:num w:numId="17">
    <w:abstractNumId w:val="16"/>
  </w:num>
  <w:num w:numId="18">
    <w:abstractNumId w:val="21"/>
  </w:num>
  <w:num w:numId="19">
    <w:abstractNumId w:val="6"/>
  </w:num>
  <w:num w:numId="20">
    <w:abstractNumId w:val="12"/>
  </w:num>
  <w:num w:numId="21">
    <w:abstractNumId w:val="14"/>
  </w:num>
  <w:num w:numId="22">
    <w:abstractNumId w:val="11"/>
  </w:num>
  <w:num w:numId="23">
    <w:abstractNumId w:val="13"/>
  </w:num>
  <w:num w:numId="24">
    <w:abstractNumId w:val="7"/>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CF"/>
    <w:rsid w:val="00000981"/>
    <w:rsid w:val="000029B9"/>
    <w:rsid w:val="00004C7D"/>
    <w:rsid w:val="00034056"/>
    <w:rsid w:val="0005458F"/>
    <w:rsid w:val="00062215"/>
    <w:rsid w:val="00075E41"/>
    <w:rsid w:val="000A2A18"/>
    <w:rsid w:val="000B12DA"/>
    <w:rsid w:val="000D7996"/>
    <w:rsid w:val="000F70F1"/>
    <w:rsid w:val="00105493"/>
    <w:rsid w:val="00106DE6"/>
    <w:rsid w:val="0011055A"/>
    <w:rsid w:val="00115948"/>
    <w:rsid w:val="00120CB3"/>
    <w:rsid w:val="00120CD3"/>
    <w:rsid w:val="00130F41"/>
    <w:rsid w:val="00135E9B"/>
    <w:rsid w:val="00143E72"/>
    <w:rsid w:val="00151E5F"/>
    <w:rsid w:val="00152C95"/>
    <w:rsid w:val="00162601"/>
    <w:rsid w:val="00176DE0"/>
    <w:rsid w:val="001925E4"/>
    <w:rsid w:val="001A06E2"/>
    <w:rsid w:val="001A4BB6"/>
    <w:rsid w:val="001B3680"/>
    <w:rsid w:val="001C2929"/>
    <w:rsid w:val="001D046F"/>
    <w:rsid w:val="001D1F6C"/>
    <w:rsid w:val="001E0FE6"/>
    <w:rsid w:val="001E3ED1"/>
    <w:rsid w:val="00220D3E"/>
    <w:rsid w:val="00236204"/>
    <w:rsid w:val="00243374"/>
    <w:rsid w:val="002434EE"/>
    <w:rsid w:val="00256FB7"/>
    <w:rsid w:val="00285E76"/>
    <w:rsid w:val="002A4053"/>
    <w:rsid w:val="002B3867"/>
    <w:rsid w:val="002B4ACF"/>
    <w:rsid w:val="002B730F"/>
    <w:rsid w:val="002C2411"/>
    <w:rsid w:val="002D46F8"/>
    <w:rsid w:val="002D4EBA"/>
    <w:rsid w:val="002E6D63"/>
    <w:rsid w:val="002F2C4F"/>
    <w:rsid w:val="00300E4D"/>
    <w:rsid w:val="00321133"/>
    <w:rsid w:val="00330E96"/>
    <w:rsid w:val="00332E3F"/>
    <w:rsid w:val="00333A94"/>
    <w:rsid w:val="003462C9"/>
    <w:rsid w:val="0036138E"/>
    <w:rsid w:val="00377425"/>
    <w:rsid w:val="00387344"/>
    <w:rsid w:val="003939FD"/>
    <w:rsid w:val="00393A90"/>
    <w:rsid w:val="003A27DE"/>
    <w:rsid w:val="003B34D0"/>
    <w:rsid w:val="003B703D"/>
    <w:rsid w:val="003C5A4C"/>
    <w:rsid w:val="003E1780"/>
    <w:rsid w:val="00412CDC"/>
    <w:rsid w:val="00435338"/>
    <w:rsid w:val="00437621"/>
    <w:rsid w:val="004660E0"/>
    <w:rsid w:val="004700E6"/>
    <w:rsid w:val="004B32D7"/>
    <w:rsid w:val="004D0EBC"/>
    <w:rsid w:val="004D7499"/>
    <w:rsid w:val="004F4E82"/>
    <w:rsid w:val="00511C83"/>
    <w:rsid w:val="0051429E"/>
    <w:rsid w:val="0052789D"/>
    <w:rsid w:val="00527F79"/>
    <w:rsid w:val="00531D59"/>
    <w:rsid w:val="00536EBB"/>
    <w:rsid w:val="00553816"/>
    <w:rsid w:val="00554E20"/>
    <w:rsid w:val="00555BB3"/>
    <w:rsid w:val="005712CC"/>
    <w:rsid w:val="00577DF5"/>
    <w:rsid w:val="00582D1F"/>
    <w:rsid w:val="005B31DD"/>
    <w:rsid w:val="005C5C98"/>
    <w:rsid w:val="005C6C49"/>
    <w:rsid w:val="006116F3"/>
    <w:rsid w:val="00630EF7"/>
    <w:rsid w:val="00637932"/>
    <w:rsid w:val="0064484A"/>
    <w:rsid w:val="00653594"/>
    <w:rsid w:val="00665E12"/>
    <w:rsid w:val="006675A4"/>
    <w:rsid w:val="00684615"/>
    <w:rsid w:val="006A4F76"/>
    <w:rsid w:val="006B77F9"/>
    <w:rsid w:val="006C17F2"/>
    <w:rsid w:val="006F4161"/>
    <w:rsid w:val="00702828"/>
    <w:rsid w:val="007403C4"/>
    <w:rsid w:val="0074365F"/>
    <w:rsid w:val="00751239"/>
    <w:rsid w:val="007872B1"/>
    <w:rsid w:val="007A52F4"/>
    <w:rsid w:val="007C2133"/>
    <w:rsid w:val="007C3D60"/>
    <w:rsid w:val="007D1024"/>
    <w:rsid w:val="007D5128"/>
    <w:rsid w:val="007E49A9"/>
    <w:rsid w:val="008244CC"/>
    <w:rsid w:val="00830193"/>
    <w:rsid w:val="00835817"/>
    <w:rsid w:val="00841E9D"/>
    <w:rsid w:val="0084243D"/>
    <w:rsid w:val="008500ED"/>
    <w:rsid w:val="00880385"/>
    <w:rsid w:val="008942A0"/>
    <w:rsid w:val="008B62E5"/>
    <w:rsid w:val="008C0061"/>
    <w:rsid w:val="008D3A9C"/>
    <w:rsid w:val="008D4235"/>
    <w:rsid w:val="008E5714"/>
    <w:rsid w:val="008F0F59"/>
    <w:rsid w:val="0091774B"/>
    <w:rsid w:val="009451A3"/>
    <w:rsid w:val="009526A1"/>
    <w:rsid w:val="00955BAD"/>
    <w:rsid w:val="009812CD"/>
    <w:rsid w:val="009859DD"/>
    <w:rsid w:val="009D0B7F"/>
    <w:rsid w:val="009D32FA"/>
    <w:rsid w:val="009D5803"/>
    <w:rsid w:val="009E1427"/>
    <w:rsid w:val="009E3A47"/>
    <w:rsid w:val="009E6B8A"/>
    <w:rsid w:val="009F1E70"/>
    <w:rsid w:val="009F33D4"/>
    <w:rsid w:val="009F5298"/>
    <w:rsid w:val="00A16FE5"/>
    <w:rsid w:val="00A47870"/>
    <w:rsid w:val="00A74E60"/>
    <w:rsid w:val="00A751C9"/>
    <w:rsid w:val="00AB0E99"/>
    <w:rsid w:val="00AF3635"/>
    <w:rsid w:val="00B00478"/>
    <w:rsid w:val="00B04804"/>
    <w:rsid w:val="00B31DCF"/>
    <w:rsid w:val="00B3371C"/>
    <w:rsid w:val="00B35DF5"/>
    <w:rsid w:val="00B573A1"/>
    <w:rsid w:val="00B664CF"/>
    <w:rsid w:val="00B927B9"/>
    <w:rsid w:val="00BB28C4"/>
    <w:rsid w:val="00BB58D4"/>
    <w:rsid w:val="00BD4102"/>
    <w:rsid w:val="00BE433F"/>
    <w:rsid w:val="00BE5C1D"/>
    <w:rsid w:val="00BF1941"/>
    <w:rsid w:val="00C1271F"/>
    <w:rsid w:val="00C129C2"/>
    <w:rsid w:val="00C25BB0"/>
    <w:rsid w:val="00C3327E"/>
    <w:rsid w:val="00C52FA2"/>
    <w:rsid w:val="00CD29ED"/>
    <w:rsid w:val="00CD39C3"/>
    <w:rsid w:val="00CF2720"/>
    <w:rsid w:val="00D02855"/>
    <w:rsid w:val="00D17932"/>
    <w:rsid w:val="00D321E2"/>
    <w:rsid w:val="00D6319A"/>
    <w:rsid w:val="00D63BA1"/>
    <w:rsid w:val="00D87E45"/>
    <w:rsid w:val="00D9751F"/>
    <w:rsid w:val="00DA407D"/>
    <w:rsid w:val="00DB5CF8"/>
    <w:rsid w:val="00DC5CB1"/>
    <w:rsid w:val="00DD51ED"/>
    <w:rsid w:val="00DF030A"/>
    <w:rsid w:val="00E30A6E"/>
    <w:rsid w:val="00E46C92"/>
    <w:rsid w:val="00E52D27"/>
    <w:rsid w:val="00E56E79"/>
    <w:rsid w:val="00E93524"/>
    <w:rsid w:val="00EC53C8"/>
    <w:rsid w:val="00EF0096"/>
    <w:rsid w:val="00EF4698"/>
    <w:rsid w:val="00EF52C4"/>
    <w:rsid w:val="00F15ABA"/>
    <w:rsid w:val="00F16998"/>
    <w:rsid w:val="00F20F54"/>
    <w:rsid w:val="00F67643"/>
    <w:rsid w:val="00FB6C61"/>
    <w:rsid w:val="00FC1B7D"/>
    <w:rsid w:val="00FC2656"/>
    <w:rsid w:val="00FC740D"/>
    <w:rsid w:val="00FD1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64CF"/>
    <w:pPr>
      <w:tabs>
        <w:tab w:val="center" w:pos="4153"/>
        <w:tab w:val="right" w:pos="8306"/>
      </w:tabs>
    </w:pPr>
  </w:style>
  <w:style w:type="character" w:customStyle="1" w:styleId="FooterChar">
    <w:name w:val="Footer Char"/>
    <w:link w:val="Footer"/>
    <w:uiPriority w:val="99"/>
    <w:locked/>
    <w:rsid w:val="00B664CF"/>
    <w:rPr>
      <w:sz w:val="24"/>
    </w:rPr>
  </w:style>
  <w:style w:type="character" w:styleId="PageNumber">
    <w:name w:val="page number"/>
    <w:uiPriority w:val="99"/>
    <w:rsid w:val="00B664CF"/>
    <w:rPr>
      <w:rFonts w:cs="Times New Roman"/>
    </w:rPr>
  </w:style>
  <w:style w:type="paragraph" w:styleId="Header">
    <w:name w:val="header"/>
    <w:basedOn w:val="Normal"/>
    <w:link w:val="HeaderChar"/>
    <w:uiPriority w:val="99"/>
    <w:rsid w:val="004B32D7"/>
    <w:pPr>
      <w:tabs>
        <w:tab w:val="center" w:pos="4513"/>
        <w:tab w:val="right" w:pos="9026"/>
      </w:tabs>
    </w:pPr>
  </w:style>
  <w:style w:type="character" w:customStyle="1" w:styleId="HeaderChar">
    <w:name w:val="Header Char"/>
    <w:link w:val="Header"/>
    <w:uiPriority w:val="99"/>
    <w:locked/>
    <w:rsid w:val="004B32D7"/>
    <w:rPr>
      <w:sz w:val="24"/>
    </w:rPr>
  </w:style>
  <w:style w:type="paragraph" w:styleId="ListBullet">
    <w:name w:val="List Bullet"/>
    <w:basedOn w:val="Normal"/>
    <w:autoRedefine/>
    <w:uiPriority w:val="99"/>
    <w:rsid w:val="00300E4D"/>
    <w:pPr>
      <w:numPr>
        <w:numId w:val="8"/>
      </w:numPr>
      <w:tabs>
        <w:tab w:val="clear" w:pos="1492"/>
        <w:tab w:val="num" w:pos="360"/>
      </w:tabs>
      <w:ind w:left="357" w:hanging="357"/>
    </w:pPr>
    <w:rPr>
      <w:rFonts w:ascii="Arial" w:hAnsi="Arial"/>
      <w:szCs w:val="20"/>
    </w:rPr>
  </w:style>
  <w:style w:type="paragraph" w:customStyle="1" w:styleId="TrackingNo">
    <w:name w:val="TrackingNo"/>
    <w:basedOn w:val="Normal"/>
    <w:uiPriority w:val="99"/>
    <w:rsid w:val="003E1780"/>
    <w:pPr>
      <w:jc w:val="right"/>
    </w:pPr>
    <w:rPr>
      <w:rFonts w:ascii="Arial" w:hAnsi="Arial"/>
      <w:szCs w:val="20"/>
    </w:rPr>
  </w:style>
  <w:style w:type="paragraph" w:styleId="BalloonText">
    <w:name w:val="Balloon Text"/>
    <w:basedOn w:val="Normal"/>
    <w:link w:val="BalloonTextChar"/>
    <w:uiPriority w:val="99"/>
    <w:semiHidden/>
    <w:unhideWhenUsed/>
    <w:rsid w:val="002A4053"/>
    <w:rPr>
      <w:rFonts w:ascii="Tahoma" w:hAnsi="Tahoma" w:cs="Tahoma"/>
      <w:sz w:val="16"/>
      <w:szCs w:val="16"/>
    </w:rPr>
  </w:style>
  <w:style w:type="character" w:customStyle="1" w:styleId="BalloonTextChar">
    <w:name w:val="Balloon Text Char"/>
    <w:link w:val="BalloonText"/>
    <w:uiPriority w:val="99"/>
    <w:semiHidden/>
    <w:rsid w:val="002A4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64CF"/>
    <w:pPr>
      <w:tabs>
        <w:tab w:val="center" w:pos="4153"/>
        <w:tab w:val="right" w:pos="8306"/>
      </w:tabs>
    </w:pPr>
  </w:style>
  <w:style w:type="character" w:customStyle="1" w:styleId="FooterChar">
    <w:name w:val="Footer Char"/>
    <w:link w:val="Footer"/>
    <w:uiPriority w:val="99"/>
    <w:locked/>
    <w:rsid w:val="00B664CF"/>
    <w:rPr>
      <w:sz w:val="24"/>
    </w:rPr>
  </w:style>
  <w:style w:type="character" w:styleId="PageNumber">
    <w:name w:val="page number"/>
    <w:uiPriority w:val="99"/>
    <w:rsid w:val="00B664CF"/>
    <w:rPr>
      <w:rFonts w:cs="Times New Roman"/>
    </w:rPr>
  </w:style>
  <w:style w:type="paragraph" w:styleId="Header">
    <w:name w:val="header"/>
    <w:basedOn w:val="Normal"/>
    <w:link w:val="HeaderChar"/>
    <w:uiPriority w:val="99"/>
    <w:rsid w:val="004B32D7"/>
    <w:pPr>
      <w:tabs>
        <w:tab w:val="center" w:pos="4513"/>
        <w:tab w:val="right" w:pos="9026"/>
      </w:tabs>
    </w:pPr>
  </w:style>
  <w:style w:type="character" w:customStyle="1" w:styleId="HeaderChar">
    <w:name w:val="Header Char"/>
    <w:link w:val="Header"/>
    <w:uiPriority w:val="99"/>
    <w:locked/>
    <w:rsid w:val="004B32D7"/>
    <w:rPr>
      <w:sz w:val="24"/>
    </w:rPr>
  </w:style>
  <w:style w:type="paragraph" w:styleId="ListBullet">
    <w:name w:val="List Bullet"/>
    <w:basedOn w:val="Normal"/>
    <w:autoRedefine/>
    <w:uiPriority w:val="99"/>
    <w:rsid w:val="00300E4D"/>
    <w:pPr>
      <w:numPr>
        <w:numId w:val="8"/>
      </w:numPr>
      <w:tabs>
        <w:tab w:val="clear" w:pos="1492"/>
        <w:tab w:val="num" w:pos="360"/>
      </w:tabs>
      <w:ind w:left="357" w:hanging="357"/>
    </w:pPr>
    <w:rPr>
      <w:rFonts w:ascii="Arial" w:hAnsi="Arial"/>
      <w:szCs w:val="20"/>
    </w:rPr>
  </w:style>
  <w:style w:type="paragraph" w:customStyle="1" w:styleId="TrackingNo">
    <w:name w:val="TrackingNo"/>
    <w:basedOn w:val="Normal"/>
    <w:uiPriority w:val="99"/>
    <w:rsid w:val="003E1780"/>
    <w:pPr>
      <w:jc w:val="right"/>
    </w:pPr>
    <w:rPr>
      <w:rFonts w:ascii="Arial" w:hAnsi="Arial"/>
      <w:szCs w:val="20"/>
    </w:rPr>
  </w:style>
  <w:style w:type="paragraph" w:styleId="BalloonText">
    <w:name w:val="Balloon Text"/>
    <w:basedOn w:val="Normal"/>
    <w:link w:val="BalloonTextChar"/>
    <w:uiPriority w:val="99"/>
    <w:semiHidden/>
    <w:unhideWhenUsed/>
    <w:rsid w:val="002A4053"/>
    <w:rPr>
      <w:rFonts w:ascii="Tahoma" w:hAnsi="Tahoma" w:cs="Tahoma"/>
      <w:sz w:val="16"/>
      <w:szCs w:val="16"/>
    </w:rPr>
  </w:style>
  <w:style w:type="character" w:customStyle="1" w:styleId="BalloonTextChar">
    <w:name w:val="Balloon Text Char"/>
    <w:link w:val="BalloonText"/>
    <w:uiPriority w:val="99"/>
    <w:semiHidden/>
    <w:rsid w:val="002A4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ballantin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10</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Dept of Commerce</Company>
  <LinksUpToDate>false</LinksUpToDate>
  <CharactersWithSpaces>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jhorn</dc:creator>
  <cp:lastModifiedBy>Georgina Ballantine</cp:lastModifiedBy>
  <cp:revision>2</cp:revision>
  <cp:lastPrinted>2014-11-26T01:03:00Z</cp:lastPrinted>
  <dcterms:created xsi:type="dcterms:W3CDTF">2014-11-26T04:21:00Z</dcterms:created>
  <dcterms:modified xsi:type="dcterms:W3CDTF">2014-11-26T04:21:00Z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A1660740</vt:lpwstr>
  </property>
  <property fmtid="{D5CDD505-2E9C-101B-9397-08002B2CF9AE}" pid="4" name="Objective-Title">
    <vt:lpwstr>TAG A - 131 Polding St, Fairfield Heights - Assessment and Recommendation Report</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Georgina Ballantine</vt:lpwstr>
  </property>
  <property fmtid="{D5CDD505-2E9C-101B-9397-08002B2CF9AE}" pid="10" name="Objective-Path">
    <vt:lpwstr>Objective Global Folder:1. Planning &amp; Environment (DP&amp;E):1. Planning &amp; Environment File Plan (DP&amp;E):MINISTERIAL AND PARLIAMENTARY RELATIONS:WORKFLOW - MINISTERIAL &amp; DIRECTOR GENERAL'S CORRESPONDENCE:Metro Delivery - West (DP&amp;E):Metro Delivery - zParramatt</vt:lpwstr>
  </property>
  <property fmtid="{D5CDD505-2E9C-101B-9397-08002B2CF9AE}" pid="11" name="Objective-Parent">
    <vt:lpwstr>DoP Working Area (Fairfield City/22-10-2013/131 Polding St, Fairfield Heights - BN for Authorisation of Referral to JRPP</vt:lpwstr>
  </property>
  <property fmtid="{D5CDD505-2E9C-101B-9397-08002B2CF9AE}" pid="12" name="Objective-State">
    <vt:lpwstr>Being Drafted</vt:lpwstr>
  </property>
  <property fmtid="{D5CDD505-2E9C-101B-9397-08002B2CF9AE}" pid="13" name="Objective-Version">
    <vt:lpwstr>3.3</vt:lpwstr>
  </property>
  <property fmtid="{D5CDD505-2E9C-101B-9397-08002B2CF9AE}" pid="14" name="Objective-VersionNumber">
    <vt:r8>25</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none]</vt:lpwstr>
  </property>
  <property fmtid="{D5CDD505-2E9C-101B-9397-08002B2CF9AE}" pid="18" name="Objective-Caveats">
    <vt:lpwstr/>
  </property>
  <property fmtid="{D5CDD505-2E9C-101B-9397-08002B2CF9AE}" pid="19" name="Objective-CreationStamp">
    <vt:filetime>2013-09-11T03:44:23Z</vt:filetime>
  </property>
  <property fmtid="{D5CDD505-2E9C-101B-9397-08002B2CF9AE}" pid="20" name="Objective-ModificationStamp">
    <vt:filetime>2013-11-20T03:30:41Z</vt:filetime>
  </property>
  <property fmtid="{D5CDD505-2E9C-101B-9397-08002B2CF9AE}" pid="21" name="Objective-Security Classification [system]">
    <vt:lpwstr/>
  </property>
  <property fmtid="{D5CDD505-2E9C-101B-9397-08002B2CF9AE}" pid="22" name="Objective-DLM [system]">
    <vt:lpwstr/>
  </property>
  <property fmtid="{D5CDD505-2E9C-101B-9397-08002B2CF9AE}" pid="23" name="Objective-Vital Record [system]">
    <vt:lpwstr/>
  </property>
</Properties>
</file>